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B3DE0DB" w14:textId="6779B1AE" w:rsidR="0083608D" w:rsidRDefault="000D482D">
      <w:pPr>
        <w:spacing w:before="60" w:after="60" w:line="276" w:lineRule="auto"/>
        <w:jc w:val="center"/>
        <w:rPr>
          <w:b/>
          <w:sz w:val="52"/>
          <w:szCs w:val="28"/>
        </w:rPr>
      </w:pPr>
      <w:bookmarkStart w:id="0" w:name="_GoBack"/>
      <w:bookmarkEnd w:id="0"/>
      <w:r>
        <w:rPr>
          <w:rFonts w:cstheme="minorHAnsi"/>
          <w:noProof/>
          <w:u w:val="single"/>
          <w:lang w:val="fr-BE" w:eastAsia="fr-BE"/>
        </w:rPr>
        <w:drawing>
          <wp:anchor distT="0" distB="0" distL="114300" distR="114300" simplePos="0" relativeHeight="251658240" behindDoc="0" locked="0" layoutInCell="1" allowOverlap="1" wp14:anchorId="5475787C" wp14:editId="11EE6B4A">
            <wp:simplePos x="0" y="0"/>
            <wp:positionH relativeFrom="column">
              <wp:posOffset>4186555</wp:posOffset>
            </wp:positionH>
            <wp:positionV relativeFrom="paragraph">
              <wp:posOffset>0</wp:posOffset>
            </wp:positionV>
            <wp:extent cx="1515110" cy="1126490"/>
            <wp:effectExtent l="0" t="0" r="8890" b="0"/>
            <wp:wrapThrough wrapText="bothSides">
              <wp:wrapPolygon edited="0">
                <wp:start x="0" y="0"/>
                <wp:lineTo x="0" y="21186"/>
                <wp:lineTo x="21455" y="21186"/>
                <wp:lineTo x="21455" y="0"/>
                <wp:lineTo x="0" y="0"/>
              </wp:wrapPolygon>
            </wp:wrapThrough>
            <wp:docPr id="21" name="Image 21" descr="C:\Users\a.blondel\AppData\Local\Microsoft\Windows\INetCache\Content.Word\GFrP.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blondel\AppData\Local\Microsoft\Windows\INetCache\Content.Word\GFrP.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5110" cy="1126490"/>
                    </a:xfrm>
                    <a:prstGeom prst="rect">
                      <a:avLst/>
                    </a:prstGeom>
                    <a:noFill/>
                    <a:ln>
                      <a:noFill/>
                    </a:ln>
                  </pic:spPr>
                </pic:pic>
              </a:graphicData>
            </a:graphic>
          </wp:anchor>
        </w:drawing>
      </w:r>
      <w:r w:rsidR="0083608D">
        <w:rPr>
          <w:b/>
          <w:sz w:val="44"/>
          <w:szCs w:val="28"/>
        </w:rPr>
        <w:t xml:space="preserve">Règlement du prix </w:t>
      </w:r>
      <w:r>
        <w:rPr>
          <w:b/>
          <w:sz w:val="52"/>
          <w:szCs w:val="28"/>
        </w:rPr>
        <w:t xml:space="preserve">    </w:t>
      </w:r>
      <w:r w:rsidR="0083608D">
        <w:rPr>
          <w:b/>
          <w:sz w:val="52"/>
          <w:szCs w:val="28"/>
        </w:rPr>
        <w:t>« PHYTOPHARMA »</w:t>
      </w:r>
      <w:r w:rsidRPr="000D482D">
        <w:rPr>
          <w:rFonts w:cstheme="minorHAnsi"/>
          <w:noProof/>
          <w:u w:val="single"/>
          <w:lang w:eastAsia="fr-FR"/>
        </w:rPr>
        <w:t xml:space="preserve"> </w:t>
      </w:r>
    </w:p>
    <w:p w14:paraId="4FE81609" w14:textId="44DA0720" w:rsidR="0083608D" w:rsidRDefault="0083608D"/>
    <w:p w14:paraId="15A2475D" w14:textId="5312FE85" w:rsidR="0083608D" w:rsidRDefault="0083608D"/>
    <w:p w14:paraId="0D988A70" w14:textId="77777777" w:rsidR="0083608D" w:rsidRDefault="0083608D">
      <w:pPr>
        <w:rPr>
          <w:sz w:val="28"/>
        </w:rPr>
      </w:pPr>
      <w:r>
        <w:rPr>
          <w:b/>
          <w:sz w:val="28"/>
        </w:rPr>
        <w:t>Préambule</w:t>
      </w:r>
      <w:r>
        <w:rPr>
          <w:sz w:val="28"/>
        </w:rPr>
        <w:t> </w:t>
      </w:r>
    </w:p>
    <w:p w14:paraId="3003A163" w14:textId="2F0A85D6" w:rsidR="0083608D" w:rsidRDefault="0083608D">
      <w:pPr>
        <w:jc w:val="both"/>
      </w:pPr>
      <w:r>
        <w:t>La société savant</w:t>
      </w:r>
      <w:r w:rsidR="00A33CAC">
        <w:t>e « Groupe Français de recherche sur les</w:t>
      </w:r>
      <w:r>
        <w:t xml:space="preserve"> Pesticides » (GFP) (association loi 1901) </w:t>
      </w:r>
      <w:r w:rsidR="00C5595F">
        <w:t>décerne</w:t>
      </w:r>
      <w:r>
        <w:t xml:space="preserve"> un prix de thèse</w:t>
      </w:r>
      <w:r w:rsidR="00357CBE">
        <w:t xml:space="preserve"> dénommé Prix </w:t>
      </w:r>
      <w:r>
        <w:t>PHYTOPHARMA.</w:t>
      </w:r>
    </w:p>
    <w:p w14:paraId="16531D5F" w14:textId="77777777" w:rsidR="0083608D" w:rsidRDefault="0083608D">
      <w:pPr>
        <w:jc w:val="both"/>
      </w:pPr>
    </w:p>
    <w:p w14:paraId="0D9A8727" w14:textId="00B5F106" w:rsidR="0083608D" w:rsidRDefault="0083608D">
      <w:pPr>
        <w:jc w:val="both"/>
      </w:pPr>
      <w:r>
        <w:t>Ce prix</w:t>
      </w:r>
      <w:r w:rsidR="00C5595F">
        <w:t xml:space="preserve"> PHYTOPHARMA</w:t>
      </w:r>
      <w:r>
        <w:t xml:space="preserve"> a pour objecti</w:t>
      </w:r>
      <w:r w:rsidR="00357CBE">
        <w:t>f de récompenser</w:t>
      </w:r>
      <w:r w:rsidR="00CD7C9B">
        <w:t xml:space="preserve"> d</w:t>
      </w:r>
      <w:r>
        <w:t>es travaux sur les produits phytosanitaires ayant permis</w:t>
      </w:r>
      <w:r w:rsidR="00CD7C9B">
        <w:t xml:space="preserve"> au lauréat d’obtenir le grade de Docteur des Universités Françaises </w:t>
      </w:r>
      <w:r>
        <w:t>lors de</w:t>
      </w:r>
      <w:r w:rsidR="00CD7C9B">
        <w:t xml:space="preserve"> l’une des deux</w:t>
      </w:r>
      <w:r>
        <w:t xml:space="preserve"> année</w:t>
      </w:r>
      <w:r w:rsidR="00CD7C9B">
        <w:t>s</w:t>
      </w:r>
      <w:r>
        <w:t xml:space="preserve"> civile</w:t>
      </w:r>
      <w:r w:rsidR="00CD7C9B">
        <w:t>s</w:t>
      </w:r>
      <w:r>
        <w:t xml:space="preserve"> précéd</w:t>
      </w:r>
      <w:r w:rsidR="00CD7C9B">
        <w:t xml:space="preserve">ant </w:t>
      </w:r>
      <w:r>
        <w:t xml:space="preserve">à </w:t>
      </w:r>
      <w:r w:rsidR="00CD7C9B">
        <w:t>l’</w:t>
      </w:r>
      <w:r>
        <w:t>attribution</w:t>
      </w:r>
      <w:r w:rsidR="00A467F7">
        <w:t xml:space="preserve"> du P</w:t>
      </w:r>
      <w:r w:rsidR="00CD7C9B">
        <w:t xml:space="preserve">rix </w:t>
      </w:r>
      <w:r w:rsidR="00A467F7">
        <w:t>PHYTOPHARMA</w:t>
      </w:r>
      <w:r w:rsidR="00C5595F">
        <w:t>, exception faite lorsque le congrès est organisé dans un pays autre que la France.</w:t>
      </w:r>
      <w:r>
        <w:t xml:space="preserve"> </w:t>
      </w:r>
    </w:p>
    <w:p w14:paraId="2F2F81DB" w14:textId="77777777" w:rsidR="0083608D" w:rsidRDefault="0083608D"/>
    <w:p w14:paraId="4C957704" w14:textId="77777777" w:rsidR="0083608D" w:rsidRDefault="0083608D">
      <w:r>
        <w:t>Ce prix est attribué chaque année selon le règlement suivant :</w:t>
      </w:r>
    </w:p>
    <w:p w14:paraId="1D03A0BC" w14:textId="77777777" w:rsidR="0083608D" w:rsidRDefault="0083608D">
      <w:pPr>
        <w:rPr>
          <w:b/>
        </w:rPr>
      </w:pPr>
    </w:p>
    <w:p w14:paraId="2F39FC54" w14:textId="77777777" w:rsidR="0083608D" w:rsidRDefault="0083608D">
      <w:pPr>
        <w:rPr>
          <w:b/>
        </w:rPr>
      </w:pPr>
    </w:p>
    <w:p w14:paraId="5E91E68D" w14:textId="5EEC314B" w:rsidR="0083608D" w:rsidRDefault="0083608D">
      <w:pPr>
        <w:rPr>
          <w:i/>
          <w:sz w:val="28"/>
        </w:rPr>
      </w:pPr>
      <w:r>
        <w:rPr>
          <w:b/>
          <w:sz w:val="28"/>
        </w:rPr>
        <w:t xml:space="preserve">Article 1 : </w:t>
      </w:r>
      <w:r>
        <w:rPr>
          <w:i/>
          <w:sz w:val="28"/>
        </w:rPr>
        <w:t xml:space="preserve">Objet du </w:t>
      </w:r>
      <w:r w:rsidR="00A467F7">
        <w:rPr>
          <w:i/>
          <w:sz w:val="28"/>
        </w:rPr>
        <w:t>P</w:t>
      </w:r>
      <w:r>
        <w:rPr>
          <w:i/>
          <w:sz w:val="28"/>
        </w:rPr>
        <w:t>rix PHYTOPHARMA</w:t>
      </w:r>
    </w:p>
    <w:p w14:paraId="1E46865E" w14:textId="77777777" w:rsidR="0083608D" w:rsidRDefault="0083608D">
      <w:pPr>
        <w:rPr>
          <w:b/>
        </w:rPr>
      </w:pPr>
    </w:p>
    <w:p w14:paraId="129D8125" w14:textId="35BF49F0" w:rsidR="00C5595F" w:rsidRDefault="0083608D" w:rsidP="00C5595F">
      <w:pPr>
        <w:jc w:val="both"/>
      </w:pPr>
      <w:r>
        <w:t xml:space="preserve">Le </w:t>
      </w:r>
      <w:r w:rsidR="00A467F7">
        <w:t>P</w:t>
      </w:r>
      <w:r>
        <w:t>rix </w:t>
      </w:r>
      <w:r w:rsidR="00A467F7">
        <w:t>PHYTOPHARMA</w:t>
      </w:r>
      <w:r>
        <w:t> récompense chaque année une thèse de doctorat concernant les produits phytosanitaires, quel</w:t>
      </w:r>
      <w:r w:rsidR="00A467F7">
        <w:t xml:space="preserve"> </w:t>
      </w:r>
      <w:r>
        <w:t>qu</w:t>
      </w:r>
      <w:r w:rsidR="00A467F7">
        <w:t>’en</w:t>
      </w:r>
      <w:r>
        <w:t xml:space="preserve"> soit le domaine traité, </w:t>
      </w:r>
      <w:r>
        <w:rPr>
          <w:iCs/>
        </w:rPr>
        <w:t xml:space="preserve">réalisée dans un laboratoire français (ou en cotutelle) et sanctionnée par un diplôme </w:t>
      </w:r>
      <w:r w:rsidR="0090244D">
        <w:rPr>
          <w:iCs/>
        </w:rPr>
        <w:t>f</w:t>
      </w:r>
      <w:r>
        <w:rPr>
          <w:iCs/>
        </w:rPr>
        <w:t>rançais</w:t>
      </w:r>
      <w:r w:rsidR="00C5595F">
        <w:rPr>
          <w:iCs/>
        </w:rPr>
        <w:t xml:space="preserve"> </w:t>
      </w:r>
      <w:r w:rsidR="0090244D">
        <w:rPr>
          <w:iCs/>
        </w:rPr>
        <w:t>(</w:t>
      </w:r>
      <w:r w:rsidR="00C5595F">
        <w:t xml:space="preserve">exception voir Article 2 alinéa 2). </w:t>
      </w:r>
    </w:p>
    <w:p w14:paraId="3F70165F" w14:textId="77777777" w:rsidR="0083608D" w:rsidRDefault="0083608D">
      <w:pPr>
        <w:jc w:val="both"/>
        <w:rPr>
          <w:iCs/>
        </w:rPr>
      </w:pPr>
    </w:p>
    <w:p w14:paraId="74715B79" w14:textId="77777777" w:rsidR="0083608D" w:rsidRDefault="0083608D">
      <w:pPr>
        <w:jc w:val="both"/>
      </w:pPr>
    </w:p>
    <w:p w14:paraId="3BCF3030" w14:textId="77777777" w:rsidR="0083608D" w:rsidRDefault="0083608D">
      <w:pPr>
        <w:jc w:val="both"/>
        <w:rPr>
          <w:i/>
          <w:sz w:val="28"/>
        </w:rPr>
      </w:pPr>
      <w:r>
        <w:rPr>
          <w:b/>
          <w:sz w:val="28"/>
        </w:rPr>
        <w:t>Article 2 </w:t>
      </w:r>
      <w:r>
        <w:rPr>
          <w:sz w:val="28"/>
        </w:rPr>
        <w:t xml:space="preserve">: </w:t>
      </w:r>
      <w:r>
        <w:rPr>
          <w:i/>
          <w:sz w:val="28"/>
        </w:rPr>
        <w:t xml:space="preserve">Conditions de candidature </w:t>
      </w:r>
    </w:p>
    <w:p w14:paraId="16786566" w14:textId="77777777" w:rsidR="0083608D" w:rsidRDefault="0083608D"/>
    <w:p w14:paraId="23D6CA3B" w14:textId="7BA35FEE" w:rsidR="0083608D" w:rsidRDefault="00E90760">
      <w:pPr>
        <w:jc w:val="both"/>
      </w:pPr>
      <w:r>
        <w:t xml:space="preserve">Peut </w:t>
      </w:r>
      <w:r w:rsidR="0083608D">
        <w:t>se porter candidat au Prix PHYTOPHARMA, tout auteur</w:t>
      </w:r>
      <w:r w:rsidR="00357CBE">
        <w:t>(e) d</w:t>
      </w:r>
      <w:r w:rsidR="00A467F7">
        <w:t>’une</w:t>
      </w:r>
      <w:r w:rsidR="0083608D">
        <w:t xml:space="preserve"> thèse soutenu</w:t>
      </w:r>
      <w:r w:rsidR="00A467F7">
        <w:t xml:space="preserve">e </w:t>
      </w:r>
      <w:r w:rsidR="00C5595F">
        <w:t xml:space="preserve">dans une université française </w:t>
      </w:r>
      <w:r w:rsidR="0083608D">
        <w:t>entre le 1</w:t>
      </w:r>
      <w:r w:rsidR="0083608D">
        <w:rPr>
          <w:vertAlign w:val="superscript"/>
        </w:rPr>
        <w:t>er</w:t>
      </w:r>
      <w:r w:rsidR="0083608D">
        <w:t xml:space="preserve"> janvier et le 31 décembre de</w:t>
      </w:r>
      <w:r w:rsidR="00A467F7">
        <w:t xml:space="preserve">s deux années </w:t>
      </w:r>
      <w:r w:rsidR="0083608D">
        <w:t>précéd</w:t>
      </w:r>
      <w:r w:rsidR="00A467F7">
        <w:t>a</w:t>
      </w:r>
      <w:r w:rsidR="0083608D">
        <w:t>nt l</w:t>
      </w:r>
      <w:r w:rsidR="00A467F7">
        <w:t xml:space="preserve">’année d’attribution </w:t>
      </w:r>
      <w:r w:rsidR="0083608D">
        <w:t xml:space="preserve">et répondant à l’objet défini dans l’article 1 et dans le préambule. </w:t>
      </w:r>
    </w:p>
    <w:p w14:paraId="0218FA8D" w14:textId="77777777" w:rsidR="00C5595F" w:rsidRDefault="00C5595F">
      <w:pPr>
        <w:jc w:val="both"/>
      </w:pPr>
    </w:p>
    <w:p w14:paraId="1350A0C8" w14:textId="77777777" w:rsidR="0090244D" w:rsidRDefault="0090244D" w:rsidP="005A390E">
      <w:pPr>
        <w:jc w:val="both"/>
      </w:pPr>
      <w:r>
        <w:t>Dans le cas où un congrès du GFP est</w:t>
      </w:r>
      <w:r w:rsidRPr="00055B7C">
        <w:t xml:space="preserve"> organisé hors de France, par un pays francophone, les doctorants </w:t>
      </w:r>
      <w:r>
        <w:t>qui auraient, l’année précédant le congrès, soutenue une thèse de doctorat dans une des universités francophones du pays organisateur</w:t>
      </w:r>
      <w:r w:rsidRPr="00055B7C">
        <w:t>,</w:t>
      </w:r>
      <w:r>
        <w:t xml:space="preserve"> sont admis à postuler au Prix PHYTOPARMA </w:t>
      </w:r>
      <w:r w:rsidRPr="00055B7C">
        <w:t xml:space="preserve">pour l’année </w:t>
      </w:r>
      <w:r>
        <w:t>en cours</w:t>
      </w:r>
      <w:r w:rsidRPr="00055B7C">
        <w:t xml:space="preserve">. </w:t>
      </w:r>
    </w:p>
    <w:p w14:paraId="1734DCEC" w14:textId="77777777" w:rsidR="0090244D" w:rsidRDefault="0090244D" w:rsidP="005A390E">
      <w:pPr>
        <w:pStyle w:val="Paragraphedeliste"/>
        <w:jc w:val="both"/>
      </w:pPr>
    </w:p>
    <w:p w14:paraId="620C000E" w14:textId="77777777" w:rsidR="0090244D" w:rsidRPr="00055B7C" w:rsidRDefault="0090244D" w:rsidP="005A390E">
      <w:pPr>
        <w:jc w:val="both"/>
      </w:pPr>
      <w:r w:rsidRPr="00055B7C">
        <w:t xml:space="preserve">Cette candidature se fait alors aux mêmes conditions que celles prescrites </w:t>
      </w:r>
      <w:r>
        <w:t>dans</w:t>
      </w:r>
      <w:r w:rsidRPr="00055B7C">
        <w:t xml:space="preserve"> le règlement ci-dessus. </w:t>
      </w:r>
    </w:p>
    <w:p w14:paraId="02ECF21F" w14:textId="77777777" w:rsidR="0083608D" w:rsidRDefault="0083608D">
      <w:pPr>
        <w:jc w:val="both"/>
      </w:pPr>
    </w:p>
    <w:p w14:paraId="5711455C" w14:textId="7CDFA90D" w:rsidR="0083608D" w:rsidRDefault="00A467F7">
      <w:pPr>
        <w:jc w:val="both"/>
      </w:pPr>
      <w:r>
        <w:t xml:space="preserve">Les candidats ne peuvent se porter candidat au </w:t>
      </w:r>
      <w:r w:rsidR="0090244D">
        <w:t>P</w:t>
      </w:r>
      <w:r>
        <w:t xml:space="preserve">rix PHYTOPHARMA qu’une seule et unique fois.  </w:t>
      </w:r>
    </w:p>
    <w:p w14:paraId="02041BA1" w14:textId="77777777" w:rsidR="0083608D" w:rsidRDefault="0083608D">
      <w:pPr>
        <w:rPr>
          <w:b/>
        </w:rPr>
      </w:pPr>
    </w:p>
    <w:p w14:paraId="72A49E3E" w14:textId="77777777" w:rsidR="0083608D" w:rsidRDefault="0083608D">
      <w:pPr>
        <w:rPr>
          <w:i/>
          <w:sz w:val="28"/>
        </w:rPr>
      </w:pPr>
      <w:r>
        <w:rPr>
          <w:b/>
          <w:sz w:val="28"/>
        </w:rPr>
        <w:t>Article 3</w:t>
      </w:r>
      <w:r>
        <w:rPr>
          <w:sz w:val="28"/>
        </w:rPr>
        <w:t xml:space="preserve"> : </w:t>
      </w:r>
      <w:r>
        <w:rPr>
          <w:i/>
          <w:sz w:val="28"/>
        </w:rPr>
        <w:t>Langue rédactionnelle</w:t>
      </w:r>
    </w:p>
    <w:p w14:paraId="3057978E" w14:textId="77777777" w:rsidR="0083608D" w:rsidRDefault="0083608D"/>
    <w:p w14:paraId="2B5DE3B3" w14:textId="2B65657D" w:rsidR="0083608D" w:rsidRDefault="0083608D">
      <w:pPr>
        <w:jc w:val="both"/>
      </w:pPr>
      <w:r>
        <w:t xml:space="preserve">Ce </w:t>
      </w:r>
      <w:r w:rsidR="0090244D">
        <w:t>P</w:t>
      </w:r>
      <w:r>
        <w:t xml:space="preserve">rix est un prix de langue </w:t>
      </w:r>
      <w:r w:rsidRPr="005A390E">
        <w:rPr>
          <w:b/>
        </w:rPr>
        <w:t>française</w:t>
      </w:r>
      <w:r>
        <w:t xml:space="preserve"> décerné par une société scientifique </w:t>
      </w:r>
      <w:r w:rsidRPr="005A390E">
        <w:rPr>
          <w:b/>
        </w:rPr>
        <w:t>francophone</w:t>
      </w:r>
      <w:r>
        <w:t>. De ce fait</w:t>
      </w:r>
      <w:r w:rsidR="00036913">
        <w:t>,</w:t>
      </w:r>
      <w:r>
        <w:t xml:space="preserve"> la langue officielle de rédaction de la thèse doit être le </w:t>
      </w:r>
      <w:r w:rsidRPr="005A390E">
        <w:rPr>
          <w:b/>
        </w:rPr>
        <w:t>français</w:t>
      </w:r>
      <w:r>
        <w:t xml:space="preserve">. Les thèses sur articles sont acceptées à condition qu’elles comportent une part substantielle en français (introduction </w:t>
      </w:r>
      <w:r>
        <w:lastRenderedPageBreak/>
        <w:t xml:space="preserve">générale, chapitre bibliographique, introduction de chapitres et conclusion/perspectives). Le jury se réserve le droit d’appréciation de cette quotité. </w:t>
      </w:r>
    </w:p>
    <w:p w14:paraId="4BF51DF2" w14:textId="77777777" w:rsidR="00036913" w:rsidRDefault="00036913">
      <w:pPr>
        <w:jc w:val="both"/>
        <w:rPr>
          <w:iCs/>
        </w:rPr>
      </w:pPr>
    </w:p>
    <w:p w14:paraId="158AB78A" w14:textId="59458CAB" w:rsidR="00036913" w:rsidRDefault="00036913">
      <w:pPr>
        <w:jc w:val="both"/>
        <w:rPr>
          <w:iCs/>
        </w:rPr>
      </w:pPr>
      <w:r>
        <w:rPr>
          <w:iCs/>
        </w:rPr>
        <w:t>Tout</w:t>
      </w:r>
      <w:r w:rsidR="00CA1196">
        <w:rPr>
          <w:iCs/>
        </w:rPr>
        <w:t>e</w:t>
      </w:r>
      <w:r>
        <w:rPr>
          <w:iCs/>
        </w:rPr>
        <w:t>fois, si une thèse est entièrement rédigée en anglais, le dossier devra être accompagné d’un résumé</w:t>
      </w:r>
      <w:r w:rsidR="0090244D">
        <w:rPr>
          <w:iCs/>
        </w:rPr>
        <w:t xml:space="preserve"> de 10 pages</w:t>
      </w:r>
      <w:r>
        <w:rPr>
          <w:iCs/>
        </w:rPr>
        <w:t xml:space="preserve"> selon les termes définis à l’article 9</w:t>
      </w:r>
      <w:r w:rsidR="00CA1196">
        <w:rPr>
          <w:iCs/>
        </w:rPr>
        <w:t xml:space="preserve"> et d’une justification de l’usage </w:t>
      </w:r>
      <w:r w:rsidR="000527CD">
        <w:rPr>
          <w:iCs/>
        </w:rPr>
        <w:t xml:space="preserve">expresse </w:t>
      </w:r>
      <w:r w:rsidR="00CA1196">
        <w:rPr>
          <w:iCs/>
        </w:rPr>
        <w:t>de cette langue</w:t>
      </w:r>
      <w:r>
        <w:rPr>
          <w:iCs/>
        </w:rPr>
        <w:t xml:space="preserve">. </w:t>
      </w:r>
    </w:p>
    <w:p w14:paraId="05AFEED2" w14:textId="31045DEB" w:rsidR="0083608D" w:rsidRDefault="0083608D">
      <w:pPr>
        <w:jc w:val="both"/>
      </w:pPr>
    </w:p>
    <w:p w14:paraId="49699EEB" w14:textId="0F93D9B0" w:rsidR="0083608D" w:rsidRDefault="0083608D">
      <w:pPr>
        <w:jc w:val="both"/>
      </w:pPr>
      <w:r>
        <w:t>Pour postuler, tout candidat devra remettre un dossier de candidature dont la composition est décrite à l’article 9.</w:t>
      </w:r>
    </w:p>
    <w:p w14:paraId="740272C9" w14:textId="77777777" w:rsidR="0083608D" w:rsidRDefault="0083608D">
      <w:pPr>
        <w:jc w:val="both"/>
        <w:rPr>
          <w:i/>
          <w:iCs/>
        </w:rPr>
      </w:pPr>
    </w:p>
    <w:p w14:paraId="52D69CCC" w14:textId="77777777" w:rsidR="0083608D" w:rsidRDefault="0083608D">
      <w:pPr>
        <w:rPr>
          <w:b/>
        </w:rPr>
      </w:pPr>
    </w:p>
    <w:p w14:paraId="0E4A2391" w14:textId="77777777" w:rsidR="0083608D" w:rsidRDefault="0083608D">
      <w:pPr>
        <w:rPr>
          <w:i/>
          <w:sz w:val="28"/>
        </w:rPr>
      </w:pPr>
      <w:r>
        <w:rPr>
          <w:b/>
          <w:sz w:val="28"/>
        </w:rPr>
        <w:t xml:space="preserve">Article 4 : </w:t>
      </w:r>
      <w:r>
        <w:rPr>
          <w:i/>
          <w:sz w:val="28"/>
        </w:rPr>
        <w:t>Caractéristiques du Prix</w:t>
      </w:r>
    </w:p>
    <w:p w14:paraId="4D4322E7" w14:textId="77777777" w:rsidR="0083608D" w:rsidRDefault="0083608D">
      <w:pPr>
        <w:rPr>
          <w:b/>
        </w:rPr>
      </w:pPr>
    </w:p>
    <w:p w14:paraId="239EDEB9" w14:textId="42C9CEEC" w:rsidR="0083608D" w:rsidRDefault="0083608D">
      <w:pPr>
        <w:jc w:val="both"/>
      </w:pPr>
      <w:r>
        <w:t>Il est décerné chaque année un seul Prix P</w:t>
      </w:r>
      <w:r w:rsidR="003F3C20">
        <w:t>HYTOPHARMA</w:t>
      </w:r>
      <w:r>
        <w:t xml:space="preserve"> récompensé, à ce jour, par une dotation de </w:t>
      </w:r>
      <w:r w:rsidR="00CA1196">
        <w:t xml:space="preserve">1 </w:t>
      </w:r>
      <w:r>
        <w:t xml:space="preserve">000 €. </w:t>
      </w:r>
    </w:p>
    <w:p w14:paraId="05D70101" w14:textId="77777777" w:rsidR="00CA1196" w:rsidRDefault="00CA1196">
      <w:pPr>
        <w:jc w:val="both"/>
      </w:pPr>
    </w:p>
    <w:p w14:paraId="20D31AC7" w14:textId="53141D15" w:rsidR="0083608D" w:rsidRDefault="00CA1196">
      <w:pPr>
        <w:jc w:val="both"/>
      </w:pPr>
      <w:r>
        <w:t xml:space="preserve">Toutefois, le jury se réserve le droit de décerner un prix </w:t>
      </w:r>
      <w:r w:rsidR="003F3C20">
        <w:t xml:space="preserve">PHYTOPHARMA </w:t>
      </w:r>
      <w:r>
        <w:t xml:space="preserve">ex-aequo dont la valeur sera considérée comme équivalente pour les deux récipiendaires. </w:t>
      </w:r>
    </w:p>
    <w:p w14:paraId="5DB70747" w14:textId="77777777" w:rsidR="0083608D" w:rsidRDefault="0083608D">
      <w:pPr>
        <w:rPr>
          <w:b/>
        </w:rPr>
      </w:pPr>
    </w:p>
    <w:p w14:paraId="519F1778" w14:textId="77777777" w:rsidR="0083608D" w:rsidRDefault="0083608D">
      <w:pPr>
        <w:rPr>
          <w:i/>
          <w:sz w:val="28"/>
        </w:rPr>
      </w:pPr>
      <w:r>
        <w:rPr>
          <w:b/>
          <w:sz w:val="28"/>
        </w:rPr>
        <w:t xml:space="preserve">Article 5 : </w:t>
      </w:r>
      <w:r>
        <w:rPr>
          <w:i/>
          <w:sz w:val="28"/>
        </w:rPr>
        <w:t>Fréquence et Remise du prix</w:t>
      </w:r>
    </w:p>
    <w:p w14:paraId="5F5426EA" w14:textId="77777777" w:rsidR="0083608D" w:rsidRDefault="0083608D"/>
    <w:p w14:paraId="3A65D46C" w14:textId="5B0BF670" w:rsidR="0083608D" w:rsidRDefault="0083608D">
      <w:pPr>
        <w:jc w:val="both"/>
      </w:pPr>
      <w:r>
        <w:t xml:space="preserve">Le prix est décerné annuellement sous réserve d’un nombre suffisant de candidatures (nombre laissé à l’appréciation du comité </w:t>
      </w:r>
      <w:r w:rsidR="00036913">
        <w:t>du Prix PHYTOPHARMA</w:t>
      </w:r>
      <w:r>
        <w:t>).</w:t>
      </w:r>
    </w:p>
    <w:p w14:paraId="6F92FEE9" w14:textId="77777777" w:rsidR="0083608D" w:rsidRDefault="0083608D">
      <w:pPr>
        <w:jc w:val="both"/>
        <w:rPr>
          <w:b/>
        </w:rPr>
      </w:pPr>
    </w:p>
    <w:p w14:paraId="754A1C04" w14:textId="77777777" w:rsidR="00036913" w:rsidRDefault="0083608D">
      <w:pPr>
        <w:jc w:val="both"/>
      </w:pPr>
      <w:r>
        <w:t>Le prix est remis lors du congrès annuel du GFP.</w:t>
      </w:r>
    </w:p>
    <w:p w14:paraId="3721AA88" w14:textId="77777777" w:rsidR="00036913" w:rsidRDefault="00036913">
      <w:pPr>
        <w:jc w:val="both"/>
      </w:pPr>
    </w:p>
    <w:p w14:paraId="2197FE99" w14:textId="3928730F" w:rsidR="00036913" w:rsidRDefault="0083608D">
      <w:pPr>
        <w:jc w:val="both"/>
      </w:pPr>
      <w:r>
        <w:t xml:space="preserve">Pour bénéficier du Prix </w:t>
      </w:r>
      <w:r w:rsidR="003F3C20">
        <w:t>PHYTOPHARMA</w:t>
      </w:r>
      <w:r>
        <w:t xml:space="preserve">, la participation du récipiendaire à ce congrès est obligatoire. </w:t>
      </w:r>
    </w:p>
    <w:p w14:paraId="5F0EE93B" w14:textId="77777777" w:rsidR="00036913" w:rsidRDefault="00036913">
      <w:pPr>
        <w:jc w:val="both"/>
      </w:pPr>
    </w:p>
    <w:p w14:paraId="5A16585F" w14:textId="77777777" w:rsidR="0083608D" w:rsidRDefault="0083608D">
      <w:pPr>
        <w:jc w:val="both"/>
      </w:pPr>
      <w:r>
        <w:t xml:space="preserve">Au cours de ce congrès, il présentera ses travaux sous forme d’une conférence. </w:t>
      </w:r>
    </w:p>
    <w:p w14:paraId="2649097B" w14:textId="77777777" w:rsidR="0083608D" w:rsidRDefault="0083608D">
      <w:pPr>
        <w:jc w:val="both"/>
      </w:pPr>
    </w:p>
    <w:p w14:paraId="36494A0D" w14:textId="77777777" w:rsidR="00FA0AED" w:rsidRDefault="00FA0AED">
      <w:pPr>
        <w:rPr>
          <w:b/>
          <w:sz w:val="28"/>
        </w:rPr>
      </w:pPr>
    </w:p>
    <w:p w14:paraId="4C0E60A5" w14:textId="0CF536F0" w:rsidR="00036913" w:rsidRDefault="0083608D">
      <w:pPr>
        <w:rPr>
          <w:sz w:val="28"/>
        </w:rPr>
      </w:pPr>
      <w:r>
        <w:rPr>
          <w:b/>
          <w:sz w:val="28"/>
        </w:rPr>
        <w:t>Article 6 </w:t>
      </w:r>
      <w:r>
        <w:rPr>
          <w:sz w:val="28"/>
        </w:rPr>
        <w:t xml:space="preserve">: </w:t>
      </w:r>
      <w:r>
        <w:rPr>
          <w:i/>
          <w:sz w:val="28"/>
        </w:rPr>
        <w:t>Organisation du prix</w:t>
      </w:r>
      <w:r>
        <w:rPr>
          <w:sz w:val="28"/>
        </w:rPr>
        <w:t xml:space="preserve"> </w:t>
      </w:r>
    </w:p>
    <w:p w14:paraId="5E9E762D" w14:textId="77777777" w:rsidR="0083608D" w:rsidRDefault="0083608D"/>
    <w:p w14:paraId="00288D32" w14:textId="5F0A3171" w:rsidR="0083608D" w:rsidRDefault="0083608D">
      <w:pPr>
        <w:jc w:val="both"/>
      </w:pPr>
      <w:r>
        <w:t xml:space="preserve">L’organisation du prix est sous la responsabilité du Secrétaire du </w:t>
      </w:r>
      <w:r w:rsidR="00036913">
        <w:t>P</w:t>
      </w:r>
      <w:r>
        <w:t xml:space="preserve">rix </w:t>
      </w:r>
      <w:r w:rsidR="00E90760">
        <w:t>PHYTOPHARMA</w:t>
      </w:r>
      <w:r>
        <w:t xml:space="preserve">. Ce dernier, membre du GFP, est </w:t>
      </w:r>
      <w:r w:rsidR="00036913">
        <w:t xml:space="preserve">nommé par approbation de </w:t>
      </w:r>
      <w:r>
        <w:t>l’assemblée générale d</w:t>
      </w:r>
      <w:r w:rsidR="00036913">
        <w:t>u GFP sur proposition du CA de l’association</w:t>
      </w:r>
      <w:r>
        <w:t xml:space="preserve">. </w:t>
      </w:r>
    </w:p>
    <w:p w14:paraId="2EBD5968" w14:textId="77777777" w:rsidR="0083608D" w:rsidRDefault="0083608D">
      <w:pPr>
        <w:jc w:val="both"/>
      </w:pPr>
    </w:p>
    <w:p w14:paraId="311BC4FF" w14:textId="092E18AA" w:rsidR="0083608D" w:rsidRDefault="0083608D">
      <w:pPr>
        <w:jc w:val="both"/>
      </w:pPr>
      <w:r>
        <w:t>Le Secrétaire du Prix</w:t>
      </w:r>
      <w:r w:rsidR="00036913">
        <w:t xml:space="preserve"> PHYTOPHARMA</w:t>
      </w:r>
      <w:r>
        <w:t xml:space="preserve"> fixe le calendrier annuel de déroulement du concours </w:t>
      </w:r>
      <w:r w:rsidR="00036913">
        <w:t>en fonction</w:t>
      </w:r>
      <w:r>
        <w:t xml:space="preserve"> de la date du congrès du GFP. </w:t>
      </w:r>
    </w:p>
    <w:p w14:paraId="1161472D" w14:textId="77777777" w:rsidR="0083608D" w:rsidRDefault="0083608D">
      <w:pPr>
        <w:jc w:val="both"/>
      </w:pPr>
    </w:p>
    <w:p w14:paraId="5BF44956" w14:textId="77777777" w:rsidR="0083608D" w:rsidRDefault="0083608D">
      <w:pPr>
        <w:jc w:val="both"/>
      </w:pPr>
      <w:r>
        <w:t xml:space="preserve">Il organise la campagne annuelle d’information sur le Prix en direction des Universités et des Organismes de Recherche publics ou privés ou de tout autre organisme susceptible de diffuser l’information auprès des doctorants. </w:t>
      </w:r>
    </w:p>
    <w:p w14:paraId="45AE46BA" w14:textId="77777777" w:rsidR="0083608D" w:rsidRDefault="0083608D">
      <w:pPr>
        <w:jc w:val="both"/>
      </w:pPr>
    </w:p>
    <w:p w14:paraId="1E289596" w14:textId="6B290F5B" w:rsidR="002E4C07" w:rsidRDefault="0083608D" w:rsidP="005A390E">
      <w:pPr>
        <w:jc w:val="both"/>
        <w:rPr>
          <w:b/>
          <w:sz w:val="28"/>
        </w:rPr>
      </w:pPr>
      <w:r>
        <w:t>Afin de procéder à une sélection de qualité, si le nombre de thèses offert aux délibérations du jury est jugé insuffisant, le comité d’organisation du Prix</w:t>
      </w:r>
      <w:r w:rsidR="00924D00">
        <w:t>,</w:t>
      </w:r>
      <w:r>
        <w:t xml:space="preserve"> par son secrétaire</w:t>
      </w:r>
      <w:r w:rsidR="00924D00">
        <w:t xml:space="preserve"> et </w:t>
      </w:r>
      <w:r>
        <w:t>en accord avec le président du GFP</w:t>
      </w:r>
      <w:r w:rsidR="00924D00">
        <w:t xml:space="preserve">, </w:t>
      </w:r>
      <w:r>
        <w:t xml:space="preserve">se réserve le droit de reporter d’une année la désignation d’un lauréat. </w:t>
      </w:r>
      <w:r>
        <w:lastRenderedPageBreak/>
        <w:t xml:space="preserve">Dans ce cas, les candidatures de l’année en cours seront automatiquement reportées sur l’année suivante. </w:t>
      </w:r>
    </w:p>
    <w:p w14:paraId="15FF5A96" w14:textId="77777777" w:rsidR="00924D00" w:rsidRDefault="00924D00" w:rsidP="005A390E">
      <w:pPr>
        <w:jc w:val="both"/>
        <w:rPr>
          <w:b/>
          <w:sz w:val="28"/>
        </w:rPr>
      </w:pPr>
    </w:p>
    <w:p w14:paraId="0042DDB9" w14:textId="77777777" w:rsidR="0083608D" w:rsidRDefault="0083608D">
      <w:pPr>
        <w:rPr>
          <w:i/>
          <w:sz w:val="28"/>
        </w:rPr>
      </w:pPr>
      <w:r>
        <w:rPr>
          <w:b/>
          <w:sz w:val="28"/>
        </w:rPr>
        <w:t xml:space="preserve">Article 7 : </w:t>
      </w:r>
      <w:r>
        <w:rPr>
          <w:i/>
          <w:sz w:val="28"/>
        </w:rPr>
        <w:t>Jury du prix</w:t>
      </w:r>
    </w:p>
    <w:p w14:paraId="2040C2A6" w14:textId="77777777" w:rsidR="0083608D" w:rsidRDefault="0083608D">
      <w:pPr>
        <w:jc w:val="both"/>
      </w:pPr>
    </w:p>
    <w:p w14:paraId="6F7815DF" w14:textId="6BC47CAE" w:rsidR="0083608D" w:rsidRDefault="0083608D">
      <w:pPr>
        <w:jc w:val="both"/>
      </w:pPr>
      <w:r>
        <w:t xml:space="preserve">Le jury du Prix </w:t>
      </w:r>
      <w:r w:rsidR="00924D00">
        <w:t>PHYTOPHARMA</w:t>
      </w:r>
      <w:r>
        <w:t xml:space="preserve">, composé de personnalités de la recherche, est indépendant des </w:t>
      </w:r>
      <w:r w:rsidR="00924D00">
        <w:t>C</w:t>
      </w:r>
      <w:r>
        <w:t xml:space="preserve">omités </w:t>
      </w:r>
      <w:r w:rsidR="00924D00">
        <w:t>S</w:t>
      </w:r>
      <w:r>
        <w:t>cientifique et d’</w:t>
      </w:r>
      <w:r w:rsidR="00924D00">
        <w:t>O</w:t>
      </w:r>
      <w:r>
        <w:t>rganisation du congrès annuel du GFP.</w:t>
      </w:r>
    </w:p>
    <w:p w14:paraId="6CEC03BF" w14:textId="77777777" w:rsidR="0083608D" w:rsidRDefault="0083608D">
      <w:pPr>
        <w:jc w:val="both"/>
      </w:pPr>
      <w:r>
        <w:t xml:space="preserve"> </w:t>
      </w:r>
    </w:p>
    <w:p w14:paraId="35589A6B" w14:textId="187E93BB" w:rsidR="0083608D" w:rsidRDefault="0083608D">
      <w:pPr>
        <w:jc w:val="both"/>
      </w:pPr>
      <w:r>
        <w:t xml:space="preserve">Le jury du Prix est composé de </w:t>
      </w:r>
      <w:r w:rsidR="000527CD">
        <w:t xml:space="preserve">8 </w:t>
      </w:r>
      <w:r>
        <w:t xml:space="preserve">membres : </w:t>
      </w:r>
    </w:p>
    <w:p w14:paraId="2328C13B" w14:textId="5FD2D3EC" w:rsidR="0083608D" w:rsidRDefault="002E4C07" w:rsidP="00924D00">
      <w:pPr>
        <w:numPr>
          <w:ilvl w:val="0"/>
          <w:numId w:val="1"/>
        </w:numPr>
        <w:jc w:val="both"/>
      </w:pPr>
      <w:r>
        <w:t>2</w:t>
      </w:r>
      <w:r w:rsidR="0083608D">
        <w:t xml:space="preserve"> membres de droit, le Président du GFP et le Secrétaire du prix </w:t>
      </w:r>
      <w:r w:rsidR="003F3C20">
        <w:t>PHYTOPHARMA</w:t>
      </w:r>
      <w:r w:rsidR="00924D00">
        <w:t>. Ce dernier</w:t>
      </w:r>
      <w:r w:rsidR="0083608D">
        <w:t xml:space="preserve"> assure la présidence du jury ; </w:t>
      </w:r>
    </w:p>
    <w:p w14:paraId="6D89BD69" w14:textId="60F27A8C" w:rsidR="0083608D" w:rsidRDefault="000527CD">
      <w:pPr>
        <w:numPr>
          <w:ilvl w:val="0"/>
          <w:numId w:val="1"/>
        </w:numPr>
        <w:jc w:val="both"/>
      </w:pPr>
      <w:r>
        <w:t>6</w:t>
      </w:r>
      <w:r w:rsidR="0083608D">
        <w:t xml:space="preserve"> membres nommés par le conseil d’administration du GFP ou sur proposition de l’assemblée générale du GFP ; </w:t>
      </w:r>
    </w:p>
    <w:p w14:paraId="609A7395" w14:textId="732EF78D" w:rsidR="002418C0" w:rsidRDefault="002418C0" w:rsidP="005A390E">
      <w:pPr>
        <w:ind w:left="720"/>
        <w:jc w:val="both"/>
      </w:pPr>
    </w:p>
    <w:p w14:paraId="08A75538" w14:textId="1DD25984" w:rsidR="0083608D" w:rsidRDefault="00E90760">
      <w:pPr>
        <w:jc w:val="both"/>
      </w:pPr>
      <w:r>
        <w:t>Si le jury s’estime non-compétent pour juger la qualité de certains travaux, il se réserve le droit d’inviter un ou plusieurs experts à participer aux débats. Le(s) invité(s) ont le droit de vote.</w:t>
      </w:r>
    </w:p>
    <w:p w14:paraId="167CFFB7" w14:textId="77777777" w:rsidR="0083608D" w:rsidRDefault="0083608D">
      <w:pPr>
        <w:rPr>
          <w:b/>
        </w:rPr>
      </w:pPr>
    </w:p>
    <w:p w14:paraId="546AD610" w14:textId="77777777" w:rsidR="0083608D" w:rsidRDefault="0083608D">
      <w:pPr>
        <w:rPr>
          <w:i/>
          <w:sz w:val="28"/>
        </w:rPr>
      </w:pPr>
      <w:r>
        <w:rPr>
          <w:b/>
          <w:sz w:val="28"/>
        </w:rPr>
        <w:t xml:space="preserve">Article 8 : </w:t>
      </w:r>
      <w:r>
        <w:rPr>
          <w:i/>
          <w:sz w:val="28"/>
        </w:rPr>
        <w:t xml:space="preserve">Délibération du Jury </w:t>
      </w:r>
    </w:p>
    <w:p w14:paraId="21A301B3" w14:textId="77777777" w:rsidR="0083608D" w:rsidRDefault="0083608D">
      <w:pPr>
        <w:jc w:val="both"/>
        <w:rPr>
          <w:b/>
        </w:rPr>
      </w:pPr>
    </w:p>
    <w:p w14:paraId="0584FA5C" w14:textId="77777777" w:rsidR="0083608D" w:rsidRDefault="0083608D">
      <w:pPr>
        <w:jc w:val="both"/>
      </w:pPr>
      <w:r>
        <w:t>Le jury organise librement ses travaux.</w:t>
      </w:r>
    </w:p>
    <w:p w14:paraId="59855617" w14:textId="77777777" w:rsidR="0083608D" w:rsidRDefault="0083608D">
      <w:pPr>
        <w:jc w:val="both"/>
      </w:pPr>
    </w:p>
    <w:p w14:paraId="6B4492CF" w14:textId="77777777" w:rsidR="0083608D" w:rsidRDefault="0083608D">
      <w:pPr>
        <w:jc w:val="both"/>
      </w:pPr>
      <w:r>
        <w:t xml:space="preserve">Le jury est souverain pour la désignation du lauréat. </w:t>
      </w:r>
    </w:p>
    <w:p w14:paraId="40C102F7" w14:textId="77777777" w:rsidR="0083608D" w:rsidRDefault="0083608D">
      <w:pPr>
        <w:jc w:val="both"/>
      </w:pPr>
    </w:p>
    <w:p w14:paraId="479B89A2" w14:textId="77777777" w:rsidR="0083608D" w:rsidRDefault="0083608D">
      <w:pPr>
        <w:jc w:val="both"/>
      </w:pPr>
      <w:r>
        <w:t xml:space="preserve">Aucun membre du jury n’a de droit de vote prépondérant et les délibérations se font par consensus. </w:t>
      </w:r>
    </w:p>
    <w:p w14:paraId="34FBE5C4" w14:textId="77777777" w:rsidR="0083608D" w:rsidRDefault="0083608D">
      <w:pPr>
        <w:jc w:val="both"/>
      </w:pPr>
    </w:p>
    <w:p w14:paraId="3EAA68D8" w14:textId="77777777" w:rsidR="0083608D" w:rsidRDefault="0083608D">
      <w:pPr>
        <w:jc w:val="both"/>
      </w:pPr>
      <w:r>
        <w:t xml:space="preserve">Le Secrétaire du Prix établit un compte rendu à l’intention du conseil d’administration du GFP. </w:t>
      </w:r>
    </w:p>
    <w:p w14:paraId="2A84FBBD" w14:textId="77777777" w:rsidR="0083608D" w:rsidRDefault="0083608D">
      <w:pPr>
        <w:jc w:val="both"/>
      </w:pPr>
    </w:p>
    <w:p w14:paraId="4ABA5042" w14:textId="77777777" w:rsidR="0083608D" w:rsidRDefault="0083608D">
      <w:pPr>
        <w:jc w:val="both"/>
      </w:pPr>
      <w:r>
        <w:t xml:space="preserve">Le palmarès est rendu public lors du congrès annuel du GFP.  </w:t>
      </w:r>
    </w:p>
    <w:p w14:paraId="68A5E292" w14:textId="77777777" w:rsidR="0083608D" w:rsidRDefault="0083608D">
      <w:pPr>
        <w:jc w:val="both"/>
        <w:rPr>
          <w:b/>
        </w:rPr>
      </w:pPr>
    </w:p>
    <w:p w14:paraId="3EF1D8C6" w14:textId="77777777" w:rsidR="0083608D" w:rsidRDefault="0083608D">
      <w:pPr>
        <w:rPr>
          <w:b/>
        </w:rPr>
      </w:pPr>
    </w:p>
    <w:p w14:paraId="5F1606AF" w14:textId="77777777" w:rsidR="0083608D" w:rsidRDefault="0083608D">
      <w:pPr>
        <w:rPr>
          <w:i/>
          <w:sz w:val="28"/>
        </w:rPr>
      </w:pPr>
      <w:r>
        <w:rPr>
          <w:b/>
          <w:sz w:val="28"/>
        </w:rPr>
        <w:t>Article 9 :</w:t>
      </w:r>
      <w:r>
        <w:rPr>
          <w:sz w:val="28"/>
        </w:rPr>
        <w:t xml:space="preserve"> </w:t>
      </w:r>
      <w:r>
        <w:rPr>
          <w:i/>
          <w:sz w:val="28"/>
        </w:rPr>
        <w:t xml:space="preserve">Dossier de candidature </w:t>
      </w:r>
    </w:p>
    <w:p w14:paraId="6B0B50D9" w14:textId="77777777" w:rsidR="0083608D" w:rsidRDefault="0083608D"/>
    <w:p w14:paraId="2C29768A" w14:textId="77777777" w:rsidR="0083608D" w:rsidRDefault="0083608D">
      <w:pPr>
        <w:jc w:val="both"/>
      </w:pPr>
      <w:r>
        <w:t xml:space="preserve">Le dossier de candidature doit comporter : </w:t>
      </w:r>
    </w:p>
    <w:p w14:paraId="4DB56094" w14:textId="77777777" w:rsidR="0083608D" w:rsidRDefault="0083608D">
      <w:pPr>
        <w:numPr>
          <w:ilvl w:val="0"/>
          <w:numId w:val="2"/>
        </w:numPr>
        <w:jc w:val="both"/>
      </w:pPr>
      <w:r>
        <w:t>1 exemplaire imprimé de la thèse ;</w:t>
      </w:r>
    </w:p>
    <w:p w14:paraId="4246DC71" w14:textId="77777777" w:rsidR="00341871" w:rsidRDefault="00341871">
      <w:pPr>
        <w:numPr>
          <w:ilvl w:val="0"/>
          <w:numId w:val="2"/>
        </w:numPr>
        <w:jc w:val="both"/>
      </w:pPr>
      <w:r>
        <w:t xml:space="preserve">1 exemplaire en format </w:t>
      </w:r>
      <w:r w:rsidRPr="00341871">
        <w:rPr>
          <w:i/>
        </w:rPr>
        <w:t>pdf</w:t>
      </w:r>
      <w:r w:rsidR="00924D00">
        <w:rPr>
          <w:i/>
        </w:rPr>
        <w:t xml:space="preserve"> ; </w:t>
      </w:r>
    </w:p>
    <w:p w14:paraId="3383AA40" w14:textId="6CF76F84" w:rsidR="0083608D" w:rsidRDefault="0083608D">
      <w:pPr>
        <w:numPr>
          <w:ilvl w:val="0"/>
          <w:numId w:val="2"/>
        </w:numPr>
        <w:jc w:val="both"/>
      </w:pPr>
      <w:r>
        <w:t xml:space="preserve">1 résumé de 4 pages </w:t>
      </w:r>
      <w:r w:rsidR="00FA0AED">
        <w:t>maximum (</w:t>
      </w:r>
      <w:r>
        <w:t>20 000 caractères espace compris maximum) </w:t>
      </w:r>
    </w:p>
    <w:p w14:paraId="5D2732DD" w14:textId="77777777" w:rsidR="0083608D" w:rsidRDefault="0083608D">
      <w:pPr>
        <w:jc w:val="both"/>
      </w:pPr>
      <w:r>
        <w:t xml:space="preserve">ou </w:t>
      </w:r>
    </w:p>
    <w:p w14:paraId="43D72B6A" w14:textId="77777777" w:rsidR="0083608D" w:rsidRDefault="0083608D">
      <w:pPr>
        <w:numPr>
          <w:ilvl w:val="0"/>
          <w:numId w:val="3"/>
        </w:numPr>
        <w:jc w:val="both"/>
        <w:rPr>
          <w:iCs/>
        </w:rPr>
      </w:pPr>
      <w:r w:rsidRPr="005A390E">
        <w:rPr>
          <w:b/>
        </w:rPr>
        <w:t>s</w:t>
      </w:r>
      <w:r w:rsidRPr="005A390E">
        <w:rPr>
          <w:b/>
          <w:iCs/>
        </w:rPr>
        <w:t>i la thèse est entièrement rédigée en anglais</w:t>
      </w:r>
      <w:r>
        <w:rPr>
          <w:iCs/>
        </w:rPr>
        <w:t>, 1 résumé de 10 pages reprenant les principaux résultats et renvoyant aux chapitres en anglais de la thèse ;</w:t>
      </w:r>
    </w:p>
    <w:p w14:paraId="6DEB4270" w14:textId="5F2CA78E" w:rsidR="0083608D" w:rsidRDefault="0083608D">
      <w:pPr>
        <w:numPr>
          <w:ilvl w:val="0"/>
          <w:numId w:val="3"/>
        </w:numPr>
        <w:jc w:val="both"/>
      </w:pPr>
      <w:r>
        <w:t xml:space="preserve">les </w:t>
      </w:r>
      <w:r w:rsidR="00753733">
        <w:t>comptes rendus</w:t>
      </w:r>
      <w:r>
        <w:t xml:space="preserve"> des Rapporteurs de la thèse ou</w:t>
      </w:r>
      <w:r w:rsidR="00924D00">
        <w:t>,</w:t>
      </w:r>
      <w:r>
        <w:t xml:space="preserve"> à défaut</w:t>
      </w:r>
      <w:r w:rsidR="00924D00">
        <w:t>,</w:t>
      </w:r>
      <w:r>
        <w:t xml:space="preserve"> le nom et l’adresse email de ces derniers ;</w:t>
      </w:r>
    </w:p>
    <w:p w14:paraId="7560BF5E" w14:textId="77777777" w:rsidR="0083608D" w:rsidRDefault="0083608D">
      <w:pPr>
        <w:numPr>
          <w:ilvl w:val="0"/>
          <w:numId w:val="3"/>
        </w:numPr>
        <w:jc w:val="both"/>
      </w:pPr>
      <w:r>
        <w:t>1 CV comportant, entre autre, la liste des publications acceptées ou en préparation ;</w:t>
      </w:r>
    </w:p>
    <w:p w14:paraId="0BDE751B" w14:textId="29C0E290" w:rsidR="0083608D" w:rsidRDefault="0083608D">
      <w:pPr>
        <w:numPr>
          <w:ilvl w:val="0"/>
          <w:numId w:val="3"/>
        </w:numPr>
        <w:jc w:val="both"/>
      </w:pPr>
      <w:r>
        <w:t>si nécessaire, les candidats devront fournir les documents adéquats à l’établissement d’une clause de confidentialité pour les membres du jury</w:t>
      </w:r>
      <w:r w:rsidR="004761B0">
        <w:t> ;</w:t>
      </w:r>
    </w:p>
    <w:p w14:paraId="30822632" w14:textId="624883A9" w:rsidR="004761B0" w:rsidRDefault="004761B0">
      <w:pPr>
        <w:numPr>
          <w:ilvl w:val="0"/>
          <w:numId w:val="3"/>
        </w:numPr>
        <w:jc w:val="both"/>
      </w:pPr>
      <w:r>
        <w:t>Une justification de l’usage de l’anglais pour la rédaction du mémoire.</w:t>
      </w:r>
    </w:p>
    <w:p w14:paraId="703F5064" w14:textId="77777777" w:rsidR="0083608D" w:rsidRDefault="0083608D">
      <w:pPr>
        <w:jc w:val="both"/>
      </w:pPr>
    </w:p>
    <w:p w14:paraId="47FC0663" w14:textId="77777777" w:rsidR="0083608D" w:rsidRDefault="0083608D">
      <w:pPr>
        <w:jc w:val="both"/>
      </w:pPr>
      <w:r>
        <w:t xml:space="preserve">Ces documents doivent être clairement identifiés par le nom de l’auteur, un titre court de la thèse et l’année de soutenance, et doivent être paginés.  </w:t>
      </w:r>
    </w:p>
    <w:p w14:paraId="2A8DD9C2" w14:textId="77777777" w:rsidR="0083608D" w:rsidRDefault="0083608D">
      <w:pPr>
        <w:jc w:val="both"/>
      </w:pPr>
    </w:p>
    <w:p w14:paraId="1EE7C07E" w14:textId="236651CD" w:rsidR="0083608D" w:rsidRDefault="00523B92">
      <w:pPr>
        <w:jc w:val="both"/>
      </w:pPr>
      <w:r>
        <w:t>Tous ces documents doivent être fourni</w:t>
      </w:r>
      <w:r w:rsidR="00924D00">
        <w:t>s</w:t>
      </w:r>
      <w:r w:rsidR="0083608D">
        <w:t xml:space="preserve"> en version électronique</w:t>
      </w:r>
      <w:r>
        <w:t xml:space="preserve"> en fichiers </w:t>
      </w:r>
      <w:r w:rsidR="00742049" w:rsidRPr="00AD6524">
        <w:rPr>
          <w:i/>
        </w:rPr>
        <w:t xml:space="preserve">pdf </w:t>
      </w:r>
      <w:r>
        <w:t>séparés (</w:t>
      </w:r>
      <w:r w:rsidR="00742049">
        <w:t>envoi par courrier électronique</w:t>
      </w:r>
      <w:r>
        <w:t>)</w:t>
      </w:r>
      <w:r w:rsidR="00742049">
        <w:t xml:space="preserve"> </w:t>
      </w:r>
      <w:r w:rsidR="00742049" w:rsidRPr="00AD6524">
        <w:rPr>
          <w:b/>
          <w:u w:val="single"/>
        </w:rPr>
        <w:t>et</w:t>
      </w:r>
      <w:r w:rsidR="00742049">
        <w:t xml:space="preserve"> en version imprimée (envoi postal)</w:t>
      </w:r>
      <w:r w:rsidR="00341871">
        <w:t>.</w:t>
      </w:r>
      <w:r>
        <w:t xml:space="preserve"> </w:t>
      </w:r>
    </w:p>
    <w:p w14:paraId="3BD07385" w14:textId="77777777" w:rsidR="0083608D" w:rsidRDefault="0083608D">
      <w:pPr>
        <w:jc w:val="both"/>
      </w:pPr>
    </w:p>
    <w:p w14:paraId="46EC95AD" w14:textId="72477EDB" w:rsidR="0083608D" w:rsidRDefault="0083608D">
      <w:pPr>
        <w:jc w:val="both"/>
      </w:pPr>
      <w:r>
        <w:t xml:space="preserve">Les dossiers de candidature doivent être transmis au plus tard à la date fixée annuellement par le Secrétaire du </w:t>
      </w:r>
      <w:r w:rsidR="00924D00">
        <w:t>P</w:t>
      </w:r>
      <w:r>
        <w:t>rix (</w:t>
      </w:r>
      <w:r w:rsidR="00523B92">
        <w:t xml:space="preserve">pour les envois postaux, cachet de la poste faisant foi). </w:t>
      </w:r>
      <w:r>
        <w:t xml:space="preserve">Cette date est généralement rappelée </w:t>
      </w:r>
      <w:r w:rsidR="00742049">
        <w:t>sur le site internet dédié au</w:t>
      </w:r>
      <w:r>
        <w:t xml:space="preserve"> congrès annuel du GFP.</w:t>
      </w:r>
    </w:p>
    <w:p w14:paraId="7D36D7F3" w14:textId="77777777" w:rsidR="0083608D" w:rsidRDefault="0083608D">
      <w:pPr>
        <w:jc w:val="both"/>
      </w:pPr>
    </w:p>
    <w:p w14:paraId="3C0777C5" w14:textId="77777777" w:rsidR="0083608D" w:rsidRDefault="0083608D">
      <w:pPr>
        <w:jc w:val="both"/>
      </w:pPr>
    </w:p>
    <w:p w14:paraId="058A8907" w14:textId="77777777" w:rsidR="0083608D" w:rsidRDefault="0083608D">
      <w:pPr>
        <w:rPr>
          <w:i/>
          <w:sz w:val="28"/>
        </w:rPr>
      </w:pPr>
      <w:r>
        <w:rPr>
          <w:b/>
          <w:sz w:val="28"/>
        </w:rPr>
        <w:t>Article 10 </w:t>
      </w:r>
      <w:r>
        <w:rPr>
          <w:sz w:val="28"/>
        </w:rPr>
        <w:t>:</w:t>
      </w:r>
      <w:r>
        <w:rPr>
          <w:i/>
          <w:sz w:val="28"/>
        </w:rPr>
        <w:t xml:space="preserve"> Confidentialité </w:t>
      </w:r>
    </w:p>
    <w:p w14:paraId="2EB77775" w14:textId="77777777" w:rsidR="0083608D" w:rsidRDefault="0083608D">
      <w:pPr>
        <w:rPr>
          <w:i/>
        </w:rPr>
      </w:pPr>
    </w:p>
    <w:p w14:paraId="4F6E99E5" w14:textId="113987AC" w:rsidR="00924D00" w:rsidRDefault="0083608D">
      <w:pPr>
        <w:jc w:val="both"/>
      </w:pPr>
      <w:r>
        <w:t>Les candidats pourront demander à bénéficier d’une clause de confidentialité</w:t>
      </w:r>
      <w:r w:rsidR="00924D00">
        <w:t xml:space="preserve">. </w:t>
      </w:r>
      <w:r>
        <w:t xml:space="preserve">Le président du jury s’engage à faire respecter cette confidentialité auprès des autres membres du jury du </w:t>
      </w:r>
      <w:r w:rsidR="00924D00">
        <w:t>P</w:t>
      </w:r>
      <w:r>
        <w:t>rix P</w:t>
      </w:r>
      <w:r w:rsidR="00924D00">
        <w:t>HYTOPHARMA</w:t>
      </w:r>
    </w:p>
    <w:p w14:paraId="6112D096" w14:textId="6802CB80" w:rsidR="0083608D" w:rsidRDefault="0083608D">
      <w:pPr>
        <w:jc w:val="both"/>
      </w:pPr>
      <w:r>
        <w:t xml:space="preserve">   </w:t>
      </w:r>
    </w:p>
    <w:p w14:paraId="29D90800" w14:textId="6881094E" w:rsidR="0083608D" w:rsidRDefault="0083608D">
      <w:pPr>
        <w:jc w:val="both"/>
      </w:pPr>
      <w:r>
        <w:t>Dans un tel cas, les documents nécessaires</w:t>
      </w:r>
      <w:r w:rsidR="00924D00">
        <w:t xml:space="preserve"> au maintien de cette clause de confidentialité devront être fournis par le candidat et</w:t>
      </w:r>
      <w:r>
        <w:t xml:space="preserve"> seront restitués </w:t>
      </w:r>
      <w:r w:rsidR="00924D00">
        <w:t xml:space="preserve">à ce dernier </w:t>
      </w:r>
      <w:r>
        <w:t xml:space="preserve">après les délibérations du jury. </w:t>
      </w:r>
    </w:p>
    <w:p w14:paraId="0614A4FF" w14:textId="77777777" w:rsidR="0083608D" w:rsidRDefault="0083608D">
      <w:pPr>
        <w:jc w:val="both"/>
      </w:pPr>
    </w:p>
    <w:p w14:paraId="610A7891" w14:textId="24C145B9" w:rsidR="0083608D" w:rsidRDefault="0083608D">
      <w:pPr>
        <w:jc w:val="both"/>
      </w:pPr>
      <w:r>
        <w:t>Sauf avis contraire, les thèses sur support papier seront conservées</w:t>
      </w:r>
      <w:r w:rsidR="00924D00">
        <w:t xml:space="preserve"> (hors clause de confidentialité)</w:t>
      </w:r>
      <w:r>
        <w:t xml:space="preserve"> par le GFP où elles pourront être consultées</w:t>
      </w:r>
      <w:r w:rsidR="00924D00">
        <w:t>.</w:t>
      </w:r>
    </w:p>
    <w:p w14:paraId="69C039C6" w14:textId="77777777" w:rsidR="0083608D" w:rsidRDefault="0083608D">
      <w:pPr>
        <w:jc w:val="both"/>
      </w:pPr>
    </w:p>
    <w:p w14:paraId="0E755EBD" w14:textId="77777777" w:rsidR="0083608D" w:rsidRDefault="0083608D">
      <w:pPr>
        <w:jc w:val="both"/>
      </w:pPr>
      <w:r>
        <w:t>Le résumé de la thèse du lauréat du prix sera consultable sur le site internet du GFP, sauf demande contraire dument notifiée.</w:t>
      </w:r>
    </w:p>
    <w:p w14:paraId="47C02B29" w14:textId="77777777" w:rsidR="0083608D" w:rsidRDefault="0083608D">
      <w:pPr>
        <w:jc w:val="both"/>
      </w:pPr>
    </w:p>
    <w:p w14:paraId="3244AE12" w14:textId="77777777" w:rsidR="0083608D" w:rsidRDefault="0083608D">
      <w:pPr>
        <w:jc w:val="both"/>
      </w:pPr>
    </w:p>
    <w:p w14:paraId="0FD6AAC7" w14:textId="77777777" w:rsidR="0083608D" w:rsidRDefault="0083608D">
      <w:pPr>
        <w:rPr>
          <w:i/>
          <w:sz w:val="28"/>
        </w:rPr>
      </w:pPr>
      <w:r>
        <w:rPr>
          <w:b/>
          <w:sz w:val="28"/>
        </w:rPr>
        <w:t xml:space="preserve">Article 11 : </w:t>
      </w:r>
      <w:r>
        <w:rPr>
          <w:i/>
          <w:sz w:val="28"/>
        </w:rPr>
        <w:t>Modification du présent règlement</w:t>
      </w:r>
    </w:p>
    <w:p w14:paraId="39625DA6" w14:textId="77777777" w:rsidR="0083608D" w:rsidRDefault="0083608D">
      <w:pPr>
        <w:jc w:val="both"/>
      </w:pPr>
    </w:p>
    <w:p w14:paraId="0DAF7C7A" w14:textId="77777777" w:rsidR="0083608D" w:rsidRDefault="0083608D">
      <w:pPr>
        <w:jc w:val="both"/>
      </w:pPr>
      <w:r>
        <w:t xml:space="preserve">Le présent règlement peut être modifié, sur proposition du conseil d’administration du GFP, par approbation de l’assemblée générale. </w:t>
      </w:r>
    </w:p>
    <w:p w14:paraId="20471FA0" w14:textId="77777777" w:rsidR="0083608D" w:rsidRDefault="0083608D"/>
    <w:p w14:paraId="639505A7" w14:textId="77777777" w:rsidR="0083608D" w:rsidRDefault="0083608D"/>
    <w:p w14:paraId="49C04796" w14:textId="77777777" w:rsidR="0083608D" w:rsidRDefault="0083608D"/>
    <w:p w14:paraId="7087191C" w14:textId="77777777" w:rsidR="0083608D" w:rsidRDefault="0083608D"/>
    <w:p w14:paraId="09DB3C4A" w14:textId="77777777" w:rsidR="0083608D" w:rsidRDefault="0083608D">
      <w:pPr>
        <w:jc w:val="center"/>
      </w:pPr>
      <w:r>
        <w:t>*****</w:t>
      </w:r>
    </w:p>
    <w:p w14:paraId="3AA492C3" w14:textId="77777777" w:rsidR="0083608D" w:rsidRDefault="0083608D">
      <w:pPr>
        <w:jc w:val="center"/>
      </w:pPr>
      <w:r>
        <w:t>***</w:t>
      </w:r>
    </w:p>
    <w:p w14:paraId="569F1F4D" w14:textId="77777777" w:rsidR="0083608D" w:rsidRDefault="0083608D">
      <w:pPr>
        <w:jc w:val="center"/>
      </w:pPr>
      <w:r>
        <w:t>*</w:t>
      </w:r>
    </w:p>
    <w:p w14:paraId="3180AC5C" w14:textId="77777777" w:rsidR="002E4C07" w:rsidRDefault="002E4C07" w:rsidP="002E4C07">
      <w:pPr>
        <w:jc w:val="both"/>
      </w:pPr>
    </w:p>
    <w:p w14:paraId="306101AA" w14:textId="77777777" w:rsidR="002E4C07" w:rsidRDefault="002E4C07" w:rsidP="002E4C07">
      <w:pPr>
        <w:jc w:val="both"/>
      </w:pPr>
    </w:p>
    <w:p w14:paraId="1489B219" w14:textId="77777777" w:rsidR="002E4C07" w:rsidRDefault="002E4C07" w:rsidP="002E4C07">
      <w:pPr>
        <w:jc w:val="both"/>
      </w:pPr>
      <w:r>
        <w:t xml:space="preserve">Les dossiers complets doivent être envoyés à l’adresse du Secrétaire du Prix. </w:t>
      </w:r>
    </w:p>
    <w:p w14:paraId="01822CAC" w14:textId="77777777" w:rsidR="002E4C07" w:rsidRDefault="002E4C07" w:rsidP="002E4C07">
      <w:pPr>
        <w:jc w:val="both"/>
      </w:pPr>
      <w:r>
        <w:t xml:space="preserve">A ce jour : </w:t>
      </w:r>
    </w:p>
    <w:p w14:paraId="79F86FD0" w14:textId="77777777" w:rsidR="002E4C07" w:rsidRDefault="002E4C07" w:rsidP="002E4C07">
      <w:pPr>
        <w:jc w:val="both"/>
        <w:rPr>
          <w:b/>
        </w:rPr>
      </w:pPr>
    </w:p>
    <w:p w14:paraId="4AE67AA5" w14:textId="77777777" w:rsidR="002E4C07" w:rsidRDefault="002E4C07" w:rsidP="002E4C07">
      <w:pPr>
        <w:tabs>
          <w:tab w:val="left" w:pos="1985"/>
        </w:tabs>
        <w:jc w:val="both"/>
      </w:pPr>
      <w:r>
        <w:rPr>
          <w:b/>
        </w:rPr>
        <w:tab/>
        <w:t>Prix PHYTOPHARMA</w:t>
      </w:r>
      <w:r>
        <w:t xml:space="preserve"> – François LAURENT</w:t>
      </w:r>
    </w:p>
    <w:p w14:paraId="06FBE988" w14:textId="77777777" w:rsidR="002E4C07" w:rsidRDefault="002E4C07" w:rsidP="002E4C07">
      <w:pPr>
        <w:tabs>
          <w:tab w:val="left" w:pos="1985"/>
        </w:tabs>
        <w:jc w:val="both"/>
      </w:pPr>
      <w:r>
        <w:tab/>
        <w:t xml:space="preserve">INRAE, </w:t>
      </w:r>
    </w:p>
    <w:p w14:paraId="093AB4DE" w14:textId="77777777" w:rsidR="002E4C07" w:rsidRDefault="002E4C07" w:rsidP="002E4C07">
      <w:pPr>
        <w:tabs>
          <w:tab w:val="left" w:pos="1985"/>
        </w:tabs>
        <w:jc w:val="both"/>
      </w:pPr>
      <w:r>
        <w:tab/>
        <w:t>UMR Toxalim, UMR 1331</w:t>
      </w:r>
    </w:p>
    <w:p w14:paraId="2C394D71" w14:textId="77777777" w:rsidR="002E4C07" w:rsidRDefault="002E4C07" w:rsidP="002E4C07">
      <w:pPr>
        <w:tabs>
          <w:tab w:val="left" w:pos="1985"/>
        </w:tabs>
        <w:jc w:val="both"/>
      </w:pPr>
      <w:r>
        <w:tab/>
        <w:t xml:space="preserve">180, chemin de Tournefeuille, BP 93173 </w:t>
      </w:r>
    </w:p>
    <w:p w14:paraId="2D5CA2A5" w14:textId="77777777" w:rsidR="002E4C07" w:rsidRDefault="002E4C07" w:rsidP="002E4C07">
      <w:pPr>
        <w:tabs>
          <w:tab w:val="left" w:pos="1985"/>
        </w:tabs>
        <w:jc w:val="both"/>
      </w:pPr>
      <w:r>
        <w:tab/>
        <w:t>Bat A,</w:t>
      </w:r>
    </w:p>
    <w:p w14:paraId="55D86F6E" w14:textId="77777777" w:rsidR="002E4C07" w:rsidRDefault="002E4C07" w:rsidP="002E4C07">
      <w:pPr>
        <w:tabs>
          <w:tab w:val="left" w:pos="1985"/>
        </w:tabs>
        <w:jc w:val="both"/>
      </w:pPr>
      <w:r>
        <w:tab/>
        <w:t>31 027 TOULOUSE Cedex 3</w:t>
      </w:r>
    </w:p>
    <w:p w14:paraId="6B37A07B" w14:textId="7FF5EF96" w:rsidR="002E4C07" w:rsidRDefault="002E4C07" w:rsidP="002E4C07">
      <w:pPr>
        <w:tabs>
          <w:tab w:val="left" w:pos="1985"/>
        </w:tabs>
        <w:jc w:val="both"/>
      </w:pPr>
      <w:r>
        <w:tab/>
        <w:t xml:space="preserve">Courriel : </w:t>
      </w:r>
      <w:r w:rsidR="00753733">
        <w:t>f</w:t>
      </w:r>
      <w:r>
        <w:t>rancois.</w:t>
      </w:r>
      <w:r w:rsidR="00753733">
        <w:t>l</w:t>
      </w:r>
      <w:r>
        <w:t>aurent@inrae.fr</w:t>
      </w:r>
    </w:p>
    <w:sectPr w:rsidR="002E4C07">
      <w:footerReference w:type="default" r:id="rId8"/>
      <w:pgSz w:w="11906" w:h="16838"/>
      <w:pgMar w:top="1417" w:right="1417" w:bottom="1417" w:left="1417"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1D9A1" w14:textId="77777777" w:rsidR="008109D0" w:rsidRDefault="008109D0">
      <w:r>
        <w:separator/>
      </w:r>
    </w:p>
  </w:endnote>
  <w:endnote w:type="continuationSeparator" w:id="0">
    <w:p w14:paraId="52B86FF1" w14:textId="77777777" w:rsidR="008109D0" w:rsidRDefault="00810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D57A4" w14:textId="1AE4B5C9" w:rsidR="00753733" w:rsidRDefault="0083608D">
    <w:pPr>
      <w:pStyle w:val="Pieddepage"/>
      <w:pBdr>
        <w:top w:val="thinThickSmallGap" w:sz="24" w:space="1" w:color="800000"/>
      </w:pBdr>
      <w:tabs>
        <w:tab w:val="clear" w:pos="4536"/>
      </w:tabs>
      <w:rPr>
        <w:rFonts w:ascii="Cambria" w:eastAsia="Cambria" w:hAnsi="Cambria" w:cs="Cambria"/>
        <w:i/>
      </w:rPr>
    </w:pPr>
    <w:r>
      <w:rPr>
        <w:rFonts w:ascii="Cambria" w:hAnsi="Cambria" w:cs="Cambria"/>
        <w:i/>
      </w:rPr>
      <w:t>Prix</w:t>
    </w:r>
    <w:r>
      <w:rPr>
        <w:rFonts w:ascii="Cambria" w:eastAsia="Cambria" w:hAnsi="Cambria" w:cs="Cambria"/>
        <w:i/>
      </w:rPr>
      <w:t xml:space="preserve"> </w:t>
    </w:r>
    <w:r w:rsidR="00AD6524">
      <w:rPr>
        <w:rFonts w:ascii="Cambria" w:hAnsi="Cambria" w:cs="Cambria"/>
        <w:i/>
      </w:rPr>
      <w:t>PHYTOPHARMA</w:t>
    </w:r>
    <w:r>
      <w:rPr>
        <w:rFonts w:ascii="Cambria" w:eastAsia="Cambria" w:hAnsi="Cambria" w:cs="Cambria"/>
        <w:i/>
      </w:rPr>
      <w:t>–</w:t>
    </w:r>
    <w:r w:rsidR="00A40F13">
      <w:rPr>
        <w:rFonts w:ascii="Cambria" w:eastAsia="Cambria" w:hAnsi="Cambria" w:cs="Cambria"/>
        <w:i/>
      </w:rPr>
      <w:t>20</w:t>
    </w:r>
    <w:r w:rsidR="00753733">
      <w:rPr>
        <w:rFonts w:ascii="Cambria" w:eastAsia="Cambria" w:hAnsi="Cambria" w:cs="Cambria"/>
        <w:i/>
      </w:rPr>
      <w:t>2</w:t>
    </w:r>
    <w:r w:rsidR="00CA1196">
      <w:rPr>
        <w:rFonts w:ascii="Cambria" w:eastAsia="Cambria" w:hAnsi="Cambria" w:cs="Cambria"/>
        <w:i/>
      </w:rPr>
      <w:t>2</w:t>
    </w:r>
  </w:p>
  <w:p w14:paraId="2BD9EDC4" w14:textId="6A391FAB" w:rsidR="0083608D" w:rsidRPr="00A40F13" w:rsidRDefault="0083608D">
    <w:pPr>
      <w:pStyle w:val="Pieddepage"/>
      <w:pBdr>
        <w:top w:val="thinThickSmallGap" w:sz="24" w:space="1" w:color="800000"/>
      </w:pBdr>
      <w:tabs>
        <w:tab w:val="clear" w:pos="4536"/>
      </w:tabs>
      <w:rPr>
        <w:rFonts w:ascii="Cambria" w:eastAsia="Cambria" w:hAnsi="Cambria" w:cs="Cambria"/>
        <w:i/>
      </w:rPr>
    </w:pPr>
    <w:r>
      <w:rPr>
        <w:rFonts w:ascii="Cambria" w:hAnsi="Cambria" w:cs="Cambria"/>
      </w:rPr>
      <w:tab/>
      <w:t>Page</w:t>
    </w:r>
    <w:r>
      <w:rPr>
        <w:rFonts w:ascii="Cambria" w:eastAsia="Cambria" w:hAnsi="Cambria" w:cs="Cambria"/>
      </w:rPr>
      <w:t xml:space="preserve"> </w:t>
    </w:r>
    <w:r>
      <w:fldChar w:fldCharType="begin"/>
    </w:r>
    <w:r>
      <w:instrText xml:space="preserve"> PAGE </w:instrText>
    </w:r>
    <w:r>
      <w:fldChar w:fldCharType="separate"/>
    </w:r>
    <w:r w:rsidR="00E974C8">
      <w:rPr>
        <w:noProof/>
      </w:rPr>
      <w:t>1</w:t>
    </w:r>
    <w:r>
      <w:fldChar w:fldCharType="end"/>
    </w:r>
  </w:p>
  <w:p w14:paraId="62833591" w14:textId="77777777" w:rsidR="0083608D" w:rsidRDefault="0083608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BDF58" w14:textId="77777777" w:rsidR="008109D0" w:rsidRDefault="008109D0">
      <w:r>
        <w:separator/>
      </w:r>
    </w:p>
  </w:footnote>
  <w:footnote w:type="continuationSeparator" w:id="0">
    <w:p w14:paraId="1FA30214" w14:textId="77777777" w:rsidR="008109D0" w:rsidRDefault="008109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
      <w:numFmt w:val="bullet"/>
      <w:lvlText w:val="-"/>
      <w:lvlJc w:val="left"/>
      <w:pPr>
        <w:tabs>
          <w:tab w:val="num" w:pos="0"/>
        </w:tabs>
        <w:ind w:left="720" w:hanging="360"/>
      </w:pPr>
      <w:rPr>
        <w:rFonts w:ascii="Times New Roman" w:hAnsi="Times New Roman" w:cs="Times New Roman"/>
      </w:rPr>
    </w:lvl>
  </w:abstractNum>
  <w:abstractNum w:abstractNumId="1" w15:restartNumberingAfterBreak="0">
    <w:nsid w:val="00000002"/>
    <w:multiLevelType w:val="singleLevel"/>
    <w:tmpl w:val="00000002"/>
    <w:name w:val="WW8Num4"/>
    <w:lvl w:ilvl="0">
      <w:start w:val="2"/>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5"/>
    <w:lvl w:ilvl="0">
      <w:start w:val="2"/>
      <w:numFmt w:val="bullet"/>
      <w:lvlText w:val="-"/>
      <w:lvlJc w:val="left"/>
      <w:pPr>
        <w:tabs>
          <w:tab w:val="num" w:pos="0"/>
        </w:tabs>
        <w:ind w:left="720" w:hanging="360"/>
      </w:pPr>
      <w:rPr>
        <w:rFonts w:ascii="Times New Roman" w:hAnsi="Times New Roman" w:cs="Times New Roman"/>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963"/>
    <w:rsid w:val="00020963"/>
    <w:rsid w:val="00036913"/>
    <w:rsid w:val="00037E66"/>
    <w:rsid w:val="000527CD"/>
    <w:rsid w:val="000D482D"/>
    <w:rsid w:val="00146ED5"/>
    <w:rsid w:val="001652F4"/>
    <w:rsid w:val="002418C0"/>
    <w:rsid w:val="002566A9"/>
    <w:rsid w:val="002E4C07"/>
    <w:rsid w:val="002F3FB0"/>
    <w:rsid w:val="00341871"/>
    <w:rsid w:val="00357CBE"/>
    <w:rsid w:val="003F3C20"/>
    <w:rsid w:val="004761B0"/>
    <w:rsid w:val="00523B92"/>
    <w:rsid w:val="005A390E"/>
    <w:rsid w:val="00634394"/>
    <w:rsid w:val="00742049"/>
    <w:rsid w:val="00753733"/>
    <w:rsid w:val="00767887"/>
    <w:rsid w:val="008109D0"/>
    <w:rsid w:val="0083608D"/>
    <w:rsid w:val="008E2369"/>
    <w:rsid w:val="008F1D25"/>
    <w:rsid w:val="0090244D"/>
    <w:rsid w:val="0092399F"/>
    <w:rsid w:val="00924D00"/>
    <w:rsid w:val="00A33CAC"/>
    <w:rsid w:val="00A40F13"/>
    <w:rsid w:val="00A467F7"/>
    <w:rsid w:val="00AD6524"/>
    <w:rsid w:val="00C53AF9"/>
    <w:rsid w:val="00C5595F"/>
    <w:rsid w:val="00CA1196"/>
    <w:rsid w:val="00CD7C9B"/>
    <w:rsid w:val="00D0559B"/>
    <w:rsid w:val="00D5297F"/>
    <w:rsid w:val="00E90760"/>
    <w:rsid w:val="00E974C8"/>
    <w:rsid w:val="00F80DAF"/>
    <w:rsid w:val="00FA0AED"/>
    <w:rsid w:val="00FD0D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E38C0A1"/>
  <w15:chartTrackingRefBased/>
  <w15:docId w15:val="{DC2E6432-7FBC-4736-BFA2-F42107A58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Wingdings" w:hAnsi="Wingdings" w:cs="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cs="Symbol"/>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Policepardfaut1">
    <w:name w:val="Police par défaut1"/>
  </w:style>
  <w:style w:type="character" w:customStyle="1" w:styleId="En-tteCar">
    <w:name w:val="En-tête Car"/>
    <w:rPr>
      <w:sz w:val="24"/>
      <w:szCs w:val="24"/>
    </w:rPr>
  </w:style>
  <w:style w:type="character" w:customStyle="1" w:styleId="PieddepageCar">
    <w:name w:val="Pied de page Car"/>
    <w:rPr>
      <w:sz w:val="24"/>
      <w:szCs w:val="24"/>
    </w:rPr>
  </w:style>
  <w:style w:type="character" w:customStyle="1" w:styleId="TextedebullesCar">
    <w:name w:val="Texte de bulles Car"/>
    <w:rPr>
      <w:rFonts w:ascii="Tahoma" w:hAnsi="Tahoma" w:cs="Tahoma"/>
      <w:sz w:val="16"/>
      <w:szCs w:val="16"/>
    </w:rPr>
  </w:style>
  <w:style w:type="paragraph" w:customStyle="1" w:styleId="Titre1">
    <w:name w:val="Titre1"/>
    <w:basedOn w:val="Normal"/>
    <w:next w:val="Corpsdetexte"/>
    <w:pPr>
      <w:keepNext/>
      <w:spacing w:before="240" w:after="120"/>
    </w:pPr>
    <w:rPr>
      <w:rFonts w:ascii="Arial" w:eastAsia="SimSun"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Textedebulles">
    <w:name w:val="Balloon Text"/>
    <w:basedOn w:val="Normal"/>
    <w:rPr>
      <w:rFonts w:ascii="Tahoma" w:hAnsi="Tahoma" w:cs="Tahoma"/>
      <w:sz w:val="16"/>
      <w:szCs w:val="16"/>
    </w:rPr>
  </w:style>
  <w:style w:type="paragraph" w:styleId="Paragraphedeliste">
    <w:name w:val="List Paragraph"/>
    <w:basedOn w:val="Normal"/>
    <w:uiPriority w:val="34"/>
    <w:qFormat/>
    <w:rsid w:val="0090244D"/>
    <w:pPr>
      <w:suppressAutoHyphens w:val="0"/>
      <w:ind w:left="720"/>
      <w:contextualSpacing/>
    </w:pPr>
    <w:rPr>
      <w:lang w:eastAsia="fr-FR"/>
    </w:rPr>
  </w:style>
  <w:style w:type="character" w:styleId="Marquedecommentaire">
    <w:name w:val="annotation reference"/>
    <w:basedOn w:val="Policepardfaut"/>
    <w:uiPriority w:val="99"/>
    <w:semiHidden/>
    <w:unhideWhenUsed/>
    <w:rsid w:val="0090244D"/>
    <w:rPr>
      <w:sz w:val="16"/>
      <w:szCs w:val="16"/>
    </w:rPr>
  </w:style>
  <w:style w:type="paragraph" w:styleId="Commentaire">
    <w:name w:val="annotation text"/>
    <w:basedOn w:val="Normal"/>
    <w:link w:val="CommentaireCar"/>
    <w:uiPriority w:val="99"/>
    <w:semiHidden/>
    <w:unhideWhenUsed/>
    <w:rsid w:val="0090244D"/>
    <w:rPr>
      <w:sz w:val="20"/>
      <w:szCs w:val="20"/>
    </w:rPr>
  </w:style>
  <w:style w:type="character" w:customStyle="1" w:styleId="CommentaireCar">
    <w:name w:val="Commentaire Car"/>
    <w:basedOn w:val="Policepardfaut"/>
    <w:link w:val="Commentaire"/>
    <w:uiPriority w:val="99"/>
    <w:semiHidden/>
    <w:rsid w:val="0090244D"/>
    <w:rPr>
      <w:lang w:eastAsia="zh-CN"/>
    </w:rPr>
  </w:style>
  <w:style w:type="paragraph" w:styleId="Objetducommentaire">
    <w:name w:val="annotation subject"/>
    <w:basedOn w:val="Commentaire"/>
    <w:next w:val="Commentaire"/>
    <w:link w:val="ObjetducommentaireCar"/>
    <w:uiPriority w:val="99"/>
    <w:semiHidden/>
    <w:unhideWhenUsed/>
    <w:rsid w:val="0090244D"/>
    <w:rPr>
      <w:b/>
      <w:bCs/>
    </w:rPr>
  </w:style>
  <w:style w:type="character" w:customStyle="1" w:styleId="ObjetducommentaireCar">
    <w:name w:val="Objet du commentaire Car"/>
    <w:basedOn w:val="CommentaireCar"/>
    <w:link w:val="Objetducommentaire"/>
    <w:uiPriority w:val="99"/>
    <w:semiHidden/>
    <w:rsid w:val="0090244D"/>
    <w:rPr>
      <w:b/>
      <w:bCs/>
      <w:lang w:eastAsia="zh-CN"/>
    </w:rPr>
  </w:style>
  <w:style w:type="paragraph" w:styleId="Rvision">
    <w:name w:val="Revision"/>
    <w:hidden/>
    <w:uiPriority w:val="99"/>
    <w:semiHidden/>
    <w:rsid w:val="0090244D"/>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1215</Words>
  <Characters>6687</Characters>
  <Application>Microsoft Office Word</Application>
  <DocSecurity>4</DocSecurity>
  <Lines>55</Lines>
  <Paragraphs>15</Paragraphs>
  <ScaleCrop>false</ScaleCrop>
  <HeadingPairs>
    <vt:vector size="2" baseType="variant">
      <vt:variant>
        <vt:lpstr>Titre</vt:lpstr>
      </vt:variant>
      <vt:variant>
        <vt:i4>1</vt:i4>
      </vt:variant>
    </vt:vector>
  </HeadingPairs>
  <TitlesOfParts>
    <vt:vector size="1" baseType="lpstr">
      <vt:lpstr>Règlement du prix de thèse prix « Phytopharma »</vt:lpstr>
    </vt:vector>
  </TitlesOfParts>
  <Company>TOXALIM</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du prix de thèse prix « Phytopharma »</dc:title>
  <dc:subject/>
  <dc:creator>Xenos</dc:creator>
  <cp:keywords/>
  <cp:lastModifiedBy>Alodie BLONDEL</cp:lastModifiedBy>
  <cp:revision>2</cp:revision>
  <cp:lastPrinted>2011-05-20T13:23:00Z</cp:lastPrinted>
  <dcterms:created xsi:type="dcterms:W3CDTF">2022-01-27T14:46:00Z</dcterms:created>
  <dcterms:modified xsi:type="dcterms:W3CDTF">2022-01-27T14:46:00Z</dcterms:modified>
</cp:coreProperties>
</file>