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3DE0DB" w14:textId="7A3ADB09" w:rsidR="0083608D" w:rsidRDefault="000D482D">
      <w:pPr>
        <w:spacing w:before="60" w:after="60" w:line="276" w:lineRule="auto"/>
        <w:jc w:val="center"/>
        <w:rPr>
          <w:b/>
          <w:sz w:val="52"/>
          <w:szCs w:val="28"/>
        </w:rPr>
      </w:pPr>
      <w:r w:rsidRPr="00B74798">
        <w:rPr>
          <w:rFonts w:cstheme="minorHAnsi"/>
          <w:b/>
          <w:noProof/>
          <w:sz w:val="40"/>
          <w:szCs w:val="40"/>
          <w:u w:val="single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5475787C" wp14:editId="11EE6B4A">
            <wp:simplePos x="0" y="0"/>
            <wp:positionH relativeFrom="column">
              <wp:posOffset>4186555</wp:posOffset>
            </wp:positionH>
            <wp:positionV relativeFrom="paragraph">
              <wp:posOffset>0</wp:posOffset>
            </wp:positionV>
            <wp:extent cx="1515110" cy="1126490"/>
            <wp:effectExtent l="0" t="0" r="8890" b="0"/>
            <wp:wrapThrough wrapText="bothSides">
              <wp:wrapPolygon edited="0">
                <wp:start x="0" y="0"/>
                <wp:lineTo x="0" y="21186"/>
                <wp:lineTo x="21455" y="21186"/>
                <wp:lineTo x="21455" y="0"/>
                <wp:lineTo x="0" y="0"/>
              </wp:wrapPolygon>
            </wp:wrapThrough>
            <wp:docPr id="21" name="Image 21" descr="C:\Users\a.blondel\AppData\Local\Microsoft\Windows\INetCache\Content.Word\GFr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.blondel\AppData\Local\Microsoft\Windows\INetCache\Content.Word\GFrP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4798" w:rsidRPr="00B74798">
        <w:rPr>
          <w:rFonts w:cstheme="minorHAnsi"/>
          <w:b/>
          <w:noProof/>
          <w:sz w:val="40"/>
          <w:szCs w:val="40"/>
          <w:u w:val="single"/>
          <w:lang w:val="fr-BE" w:eastAsia="fr-BE"/>
        </w:rPr>
        <w:t>Liste des pièces à founir</w:t>
      </w:r>
      <w:r w:rsidR="0083608D">
        <w:rPr>
          <w:b/>
          <w:sz w:val="44"/>
          <w:szCs w:val="28"/>
        </w:rPr>
        <w:t xml:space="preserve"> </w:t>
      </w:r>
      <w:r>
        <w:rPr>
          <w:b/>
          <w:sz w:val="52"/>
          <w:szCs w:val="28"/>
        </w:rPr>
        <w:t xml:space="preserve"> </w:t>
      </w:r>
      <w:proofErr w:type="gramStart"/>
      <w:r>
        <w:rPr>
          <w:b/>
          <w:sz w:val="52"/>
          <w:szCs w:val="28"/>
        </w:rPr>
        <w:t xml:space="preserve">   </w:t>
      </w:r>
      <w:r w:rsidR="0083608D">
        <w:rPr>
          <w:b/>
          <w:sz w:val="52"/>
          <w:szCs w:val="28"/>
        </w:rPr>
        <w:t>«</w:t>
      </w:r>
      <w:proofErr w:type="gramEnd"/>
      <w:r w:rsidR="0083608D">
        <w:rPr>
          <w:b/>
          <w:sz w:val="52"/>
          <w:szCs w:val="28"/>
        </w:rPr>
        <w:t> PHYTOPHARMA »</w:t>
      </w:r>
      <w:r w:rsidRPr="000D482D">
        <w:rPr>
          <w:rFonts w:cstheme="minorHAnsi"/>
          <w:noProof/>
          <w:u w:val="single"/>
          <w:lang w:eastAsia="fr-FR"/>
        </w:rPr>
        <w:t xml:space="preserve"> </w:t>
      </w:r>
    </w:p>
    <w:p w14:paraId="3EF1D8C6" w14:textId="77777777" w:rsidR="0083608D" w:rsidRDefault="0083608D">
      <w:pPr>
        <w:rPr>
          <w:b/>
        </w:rPr>
      </w:pPr>
    </w:p>
    <w:p w14:paraId="5F1606AF" w14:textId="03ACC920" w:rsidR="0083608D" w:rsidRDefault="0083608D">
      <w:pPr>
        <w:rPr>
          <w:i/>
          <w:sz w:val="28"/>
        </w:rPr>
      </w:pPr>
      <w:bookmarkStart w:id="0" w:name="_GoBack"/>
      <w:bookmarkEnd w:id="0"/>
      <w:r>
        <w:rPr>
          <w:i/>
          <w:sz w:val="28"/>
        </w:rPr>
        <w:t xml:space="preserve">Dossier de candidature </w:t>
      </w:r>
    </w:p>
    <w:p w14:paraId="6B0B50D9" w14:textId="77777777" w:rsidR="0083608D" w:rsidRDefault="0083608D"/>
    <w:p w14:paraId="2C29768A" w14:textId="77777777" w:rsidR="0083608D" w:rsidRDefault="0083608D">
      <w:pPr>
        <w:jc w:val="both"/>
      </w:pPr>
      <w:r>
        <w:t xml:space="preserve">Le dossier de candidature doit comporter : </w:t>
      </w:r>
    </w:p>
    <w:p w14:paraId="4DB56094" w14:textId="77777777" w:rsidR="0083608D" w:rsidRDefault="0083608D">
      <w:pPr>
        <w:numPr>
          <w:ilvl w:val="0"/>
          <w:numId w:val="2"/>
        </w:numPr>
        <w:jc w:val="both"/>
      </w:pPr>
      <w:r>
        <w:t>1 exemplaire imprimé de la thèse ;</w:t>
      </w:r>
    </w:p>
    <w:p w14:paraId="4246DC71" w14:textId="77777777" w:rsidR="00341871" w:rsidRDefault="00341871">
      <w:pPr>
        <w:numPr>
          <w:ilvl w:val="0"/>
          <w:numId w:val="2"/>
        </w:numPr>
        <w:jc w:val="both"/>
      </w:pPr>
      <w:r>
        <w:t xml:space="preserve">1 exemplaire en format </w:t>
      </w:r>
      <w:proofErr w:type="spellStart"/>
      <w:r w:rsidRPr="00341871">
        <w:rPr>
          <w:i/>
        </w:rPr>
        <w:t>pdf</w:t>
      </w:r>
      <w:proofErr w:type="spellEnd"/>
      <w:r w:rsidR="00924D00">
        <w:rPr>
          <w:i/>
        </w:rPr>
        <w:t xml:space="preserve"> ; </w:t>
      </w:r>
    </w:p>
    <w:p w14:paraId="3383AA40" w14:textId="6CF76F84" w:rsidR="0083608D" w:rsidRDefault="0083608D">
      <w:pPr>
        <w:numPr>
          <w:ilvl w:val="0"/>
          <w:numId w:val="2"/>
        </w:numPr>
        <w:jc w:val="both"/>
      </w:pPr>
      <w:r>
        <w:t xml:space="preserve">1 résumé de 4 pages </w:t>
      </w:r>
      <w:r w:rsidR="00FA0AED">
        <w:t>maximum (</w:t>
      </w:r>
      <w:r>
        <w:t>20 000 caractères espace compris maximum) </w:t>
      </w:r>
    </w:p>
    <w:p w14:paraId="5D2732DD" w14:textId="77777777" w:rsidR="0083608D" w:rsidRDefault="0083608D">
      <w:pPr>
        <w:jc w:val="both"/>
      </w:pPr>
      <w:proofErr w:type="gramStart"/>
      <w:r>
        <w:t>ou</w:t>
      </w:r>
      <w:proofErr w:type="gramEnd"/>
      <w:r>
        <w:t xml:space="preserve"> </w:t>
      </w:r>
    </w:p>
    <w:p w14:paraId="43D72B6A" w14:textId="77777777" w:rsidR="0083608D" w:rsidRDefault="0083608D">
      <w:pPr>
        <w:numPr>
          <w:ilvl w:val="0"/>
          <w:numId w:val="3"/>
        </w:numPr>
        <w:jc w:val="both"/>
        <w:rPr>
          <w:iCs/>
        </w:rPr>
      </w:pPr>
      <w:proofErr w:type="gramStart"/>
      <w:r w:rsidRPr="005A390E">
        <w:rPr>
          <w:b/>
        </w:rPr>
        <w:t>s</w:t>
      </w:r>
      <w:r w:rsidRPr="005A390E">
        <w:rPr>
          <w:b/>
          <w:iCs/>
        </w:rPr>
        <w:t>i</w:t>
      </w:r>
      <w:proofErr w:type="gramEnd"/>
      <w:r w:rsidRPr="005A390E">
        <w:rPr>
          <w:b/>
          <w:iCs/>
        </w:rPr>
        <w:t xml:space="preserve"> la thèse est entièrement rédigée en anglais</w:t>
      </w:r>
      <w:r>
        <w:rPr>
          <w:iCs/>
        </w:rPr>
        <w:t>, 1 résumé de 10 pages reprenant les principaux résultats et renvoyant aux chapitres en anglais de la thèse ;</w:t>
      </w:r>
    </w:p>
    <w:p w14:paraId="6DEB4270" w14:textId="5F2CA78E" w:rsidR="0083608D" w:rsidRDefault="0083608D">
      <w:pPr>
        <w:numPr>
          <w:ilvl w:val="0"/>
          <w:numId w:val="3"/>
        </w:numPr>
        <w:jc w:val="both"/>
      </w:pPr>
      <w:proofErr w:type="gramStart"/>
      <w:r>
        <w:t>les</w:t>
      </w:r>
      <w:proofErr w:type="gramEnd"/>
      <w:r>
        <w:t xml:space="preserve"> </w:t>
      </w:r>
      <w:r w:rsidR="00753733">
        <w:t>comptes rendus</w:t>
      </w:r>
      <w:r>
        <w:t xml:space="preserve"> des Rapporteurs de la thèse ou</w:t>
      </w:r>
      <w:r w:rsidR="00924D00">
        <w:t>,</w:t>
      </w:r>
      <w:r>
        <w:t xml:space="preserve"> à défaut</w:t>
      </w:r>
      <w:r w:rsidR="00924D00">
        <w:t>,</w:t>
      </w:r>
      <w:r>
        <w:t xml:space="preserve"> le nom et l’adresse email de ces derniers ;</w:t>
      </w:r>
    </w:p>
    <w:p w14:paraId="7560BF5E" w14:textId="77777777" w:rsidR="0083608D" w:rsidRDefault="0083608D">
      <w:pPr>
        <w:numPr>
          <w:ilvl w:val="0"/>
          <w:numId w:val="3"/>
        </w:numPr>
        <w:jc w:val="both"/>
      </w:pPr>
      <w:r>
        <w:t>1 CV comportant, entre autre, la liste des publications acceptées ou en préparation ;</w:t>
      </w:r>
    </w:p>
    <w:p w14:paraId="0BDE751B" w14:textId="29C0E290" w:rsidR="0083608D" w:rsidRDefault="0083608D">
      <w:pPr>
        <w:numPr>
          <w:ilvl w:val="0"/>
          <w:numId w:val="3"/>
        </w:numPr>
        <w:jc w:val="both"/>
      </w:pPr>
      <w:proofErr w:type="gramStart"/>
      <w:r>
        <w:t>si</w:t>
      </w:r>
      <w:proofErr w:type="gramEnd"/>
      <w:r>
        <w:t xml:space="preserve"> nécessaire, les candidats devront fournir les documents adéquats à l’établissement d’une clause de confidentialité pour les membres du jury</w:t>
      </w:r>
      <w:r w:rsidR="004761B0">
        <w:t> ;</w:t>
      </w:r>
    </w:p>
    <w:p w14:paraId="30822632" w14:textId="624883A9" w:rsidR="004761B0" w:rsidRDefault="004761B0">
      <w:pPr>
        <w:numPr>
          <w:ilvl w:val="0"/>
          <w:numId w:val="3"/>
        </w:numPr>
        <w:jc w:val="both"/>
      </w:pPr>
      <w:r>
        <w:t>Une justification de l’usage de l’anglais pour la rédaction du mémoire.</w:t>
      </w:r>
    </w:p>
    <w:p w14:paraId="703F5064" w14:textId="77777777" w:rsidR="0083608D" w:rsidRDefault="0083608D">
      <w:pPr>
        <w:jc w:val="both"/>
      </w:pPr>
    </w:p>
    <w:p w14:paraId="47FC0663" w14:textId="77777777" w:rsidR="0083608D" w:rsidRDefault="0083608D">
      <w:pPr>
        <w:jc w:val="both"/>
      </w:pPr>
      <w:r>
        <w:t xml:space="preserve">Ces documents doivent être clairement identifiés par le nom de l’auteur, un titre court de la thèse et l’année de soutenance, et doivent être paginés.  </w:t>
      </w:r>
    </w:p>
    <w:p w14:paraId="2A8DD9C2" w14:textId="77777777" w:rsidR="0083608D" w:rsidRDefault="0083608D">
      <w:pPr>
        <w:jc w:val="both"/>
      </w:pPr>
    </w:p>
    <w:p w14:paraId="1EE7C07E" w14:textId="236651CD" w:rsidR="0083608D" w:rsidRDefault="00523B92">
      <w:pPr>
        <w:jc w:val="both"/>
      </w:pPr>
      <w:r>
        <w:t>Tous ces documents doivent être fourni</w:t>
      </w:r>
      <w:r w:rsidR="00924D00">
        <w:t>s</w:t>
      </w:r>
      <w:r w:rsidR="0083608D">
        <w:t xml:space="preserve"> en version électronique</w:t>
      </w:r>
      <w:r>
        <w:t xml:space="preserve"> en fichiers </w:t>
      </w:r>
      <w:proofErr w:type="spellStart"/>
      <w:r w:rsidR="00742049" w:rsidRPr="00AD6524">
        <w:rPr>
          <w:i/>
        </w:rPr>
        <w:t>pdf</w:t>
      </w:r>
      <w:proofErr w:type="spellEnd"/>
      <w:r w:rsidR="00742049" w:rsidRPr="00AD6524">
        <w:rPr>
          <w:i/>
        </w:rPr>
        <w:t xml:space="preserve"> </w:t>
      </w:r>
      <w:r>
        <w:t>séparés (</w:t>
      </w:r>
      <w:r w:rsidR="00742049">
        <w:t>envoi par courrier électronique</w:t>
      </w:r>
      <w:r>
        <w:t>)</w:t>
      </w:r>
      <w:r w:rsidR="00742049">
        <w:t xml:space="preserve"> </w:t>
      </w:r>
      <w:r w:rsidR="00742049" w:rsidRPr="00AD6524">
        <w:rPr>
          <w:b/>
          <w:u w:val="single"/>
        </w:rPr>
        <w:t>et</w:t>
      </w:r>
      <w:r w:rsidR="00742049">
        <w:t xml:space="preserve"> en version imprimée (envoi postal)</w:t>
      </w:r>
      <w:r w:rsidR="00341871">
        <w:t>.</w:t>
      </w:r>
      <w:r>
        <w:t xml:space="preserve"> </w:t>
      </w:r>
    </w:p>
    <w:p w14:paraId="3BD07385" w14:textId="77777777" w:rsidR="0083608D" w:rsidRDefault="0083608D">
      <w:pPr>
        <w:jc w:val="both"/>
      </w:pPr>
    </w:p>
    <w:p w14:paraId="46EC95AD" w14:textId="72477EDB" w:rsidR="0083608D" w:rsidRDefault="0083608D">
      <w:pPr>
        <w:jc w:val="both"/>
      </w:pPr>
      <w:r>
        <w:t xml:space="preserve">Les dossiers de candidature doivent être transmis au plus tard à la date fixée annuellement par le Secrétaire du </w:t>
      </w:r>
      <w:r w:rsidR="00924D00">
        <w:t>P</w:t>
      </w:r>
      <w:r>
        <w:t>rix (</w:t>
      </w:r>
      <w:r w:rsidR="00523B92">
        <w:t xml:space="preserve">pour les envois postaux, cachet de la poste faisant foi). </w:t>
      </w:r>
      <w:r>
        <w:t xml:space="preserve">Cette date est généralement rappelée </w:t>
      </w:r>
      <w:r w:rsidR="00742049">
        <w:t>sur le site internet dédié au</w:t>
      </w:r>
      <w:r>
        <w:t xml:space="preserve"> congrès annuel du GFP.</w:t>
      </w:r>
    </w:p>
    <w:p w14:paraId="7D36D7F3" w14:textId="77777777" w:rsidR="0083608D" w:rsidRDefault="0083608D">
      <w:pPr>
        <w:jc w:val="both"/>
      </w:pPr>
    </w:p>
    <w:p w14:paraId="0FD6AAC7" w14:textId="77777777" w:rsidR="0083608D" w:rsidRDefault="0083608D">
      <w:pPr>
        <w:rPr>
          <w:i/>
          <w:sz w:val="28"/>
        </w:rPr>
      </w:pPr>
      <w:r>
        <w:rPr>
          <w:b/>
          <w:sz w:val="28"/>
        </w:rPr>
        <w:t xml:space="preserve">Article 11 : </w:t>
      </w:r>
      <w:r>
        <w:rPr>
          <w:i/>
          <w:sz w:val="28"/>
        </w:rPr>
        <w:t>Modification du présent règlement</w:t>
      </w:r>
    </w:p>
    <w:p w14:paraId="39625DA6" w14:textId="77777777" w:rsidR="0083608D" w:rsidRDefault="0083608D">
      <w:pPr>
        <w:jc w:val="both"/>
      </w:pPr>
    </w:p>
    <w:p w14:paraId="0DAF7C7A" w14:textId="77777777" w:rsidR="0083608D" w:rsidRDefault="0083608D">
      <w:pPr>
        <w:jc w:val="both"/>
      </w:pPr>
      <w:r>
        <w:t xml:space="preserve">Le présent règlement peut être modifié, sur proposition du conseil d’administration du GFP, par approbation de l’assemblée générale. </w:t>
      </w:r>
    </w:p>
    <w:p w14:paraId="20471FA0" w14:textId="77777777" w:rsidR="0083608D" w:rsidRDefault="0083608D"/>
    <w:p w14:paraId="569F1F4D" w14:textId="77777777" w:rsidR="0083608D" w:rsidRDefault="0083608D">
      <w:pPr>
        <w:jc w:val="center"/>
      </w:pPr>
      <w:r>
        <w:t>*</w:t>
      </w:r>
    </w:p>
    <w:p w14:paraId="1489B219" w14:textId="77777777" w:rsidR="002E4C07" w:rsidRDefault="002E4C07" w:rsidP="002E4C07">
      <w:pPr>
        <w:jc w:val="both"/>
      </w:pPr>
      <w:r>
        <w:t xml:space="preserve">Les dossiers complets doivent être envoyés à l’adresse du Secrétaire du Prix. </w:t>
      </w:r>
    </w:p>
    <w:p w14:paraId="01822CAC" w14:textId="77777777" w:rsidR="002E4C07" w:rsidRDefault="002E4C07" w:rsidP="002E4C07">
      <w:pPr>
        <w:jc w:val="both"/>
      </w:pPr>
      <w:r>
        <w:t xml:space="preserve">A ce jour : </w:t>
      </w:r>
    </w:p>
    <w:p w14:paraId="79F86FD0" w14:textId="77777777" w:rsidR="002E4C07" w:rsidRDefault="002E4C07" w:rsidP="002E4C07">
      <w:pPr>
        <w:jc w:val="both"/>
        <w:rPr>
          <w:b/>
        </w:rPr>
      </w:pPr>
    </w:p>
    <w:p w14:paraId="4AE67AA5" w14:textId="77777777" w:rsidR="002E4C07" w:rsidRDefault="002E4C07" w:rsidP="002E4C07">
      <w:pPr>
        <w:tabs>
          <w:tab w:val="left" w:pos="1985"/>
        </w:tabs>
        <w:jc w:val="both"/>
      </w:pPr>
      <w:r>
        <w:rPr>
          <w:b/>
        </w:rPr>
        <w:tab/>
        <w:t>Prix PHYTOPHARMA</w:t>
      </w:r>
      <w:r>
        <w:t xml:space="preserve"> – François LAURENT</w:t>
      </w:r>
    </w:p>
    <w:p w14:paraId="06FBE988" w14:textId="77777777" w:rsidR="002E4C07" w:rsidRDefault="002E4C07" w:rsidP="002E4C07">
      <w:pPr>
        <w:tabs>
          <w:tab w:val="left" w:pos="1985"/>
        </w:tabs>
        <w:jc w:val="both"/>
      </w:pPr>
      <w:r>
        <w:tab/>
        <w:t xml:space="preserve">INRAE, </w:t>
      </w:r>
    </w:p>
    <w:p w14:paraId="093AB4DE" w14:textId="77777777" w:rsidR="002E4C07" w:rsidRDefault="002E4C07" w:rsidP="002E4C07">
      <w:pPr>
        <w:tabs>
          <w:tab w:val="left" w:pos="1985"/>
        </w:tabs>
        <w:jc w:val="both"/>
      </w:pPr>
      <w:r>
        <w:tab/>
        <w:t>UMR Toxalim, UMR 1331</w:t>
      </w:r>
    </w:p>
    <w:p w14:paraId="2C394D71" w14:textId="77777777" w:rsidR="002E4C07" w:rsidRDefault="002E4C07" w:rsidP="002E4C07">
      <w:pPr>
        <w:tabs>
          <w:tab w:val="left" w:pos="1985"/>
        </w:tabs>
        <w:jc w:val="both"/>
      </w:pPr>
      <w:r>
        <w:tab/>
        <w:t xml:space="preserve">180, chemin de Tournefeuille, BP 93173 </w:t>
      </w:r>
    </w:p>
    <w:p w14:paraId="2D5CA2A5" w14:textId="77777777" w:rsidR="002E4C07" w:rsidRDefault="002E4C07" w:rsidP="002E4C07">
      <w:pPr>
        <w:tabs>
          <w:tab w:val="left" w:pos="1985"/>
        </w:tabs>
        <w:jc w:val="both"/>
      </w:pPr>
      <w:r>
        <w:tab/>
        <w:t>Bat A,</w:t>
      </w:r>
    </w:p>
    <w:p w14:paraId="55D86F6E" w14:textId="77777777" w:rsidR="002E4C07" w:rsidRDefault="002E4C07" w:rsidP="002E4C07">
      <w:pPr>
        <w:tabs>
          <w:tab w:val="left" w:pos="1985"/>
        </w:tabs>
        <w:jc w:val="both"/>
      </w:pPr>
      <w:r>
        <w:tab/>
        <w:t>31 027 TOULOUSE Cedex 3</w:t>
      </w:r>
    </w:p>
    <w:p w14:paraId="6B37A07B" w14:textId="7FF5EF96" w:rsidR="002E4C07" w:rsidRDefault="002E4C07" w:rsidP="002E4C07">
      <w:pPr>
        <w:tabs>
          <w:tab w:val="left" w:pos="1985"/>
        </w:tabs>
        <w:jc w:val="both"/>
      </w:pPr>
      <w:r>
        <w:tab/>
        <w:t xml:space="preserve">Courriel : </w:t>
      </w:r>
      <w:r w:rsidR="00753733">
        <w:t>f</w:t>
      </w:r>
      <w:r>
        <w:t>rancois.</w:t>
      </w:r>
      <w:r w:rsidR="00753733">
        <w:t>l</w:t>
      </w:r>
      <w:r>
        <w:t>aurent@inrae.fr</w:t>
      </w:r>
    </w:p>
    <w:sectPr w:rsidR="002E4C07">
      <w:footerReference w:type="default" r:id="rId8"/>
      <w:pgSz w:w="11906" w:h="16838"/>
      <w:pgMar w:top="1417" w:right="1417" w:bottom="1417" w:left="141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1D9A1" w14:textId="77777777" w:rsidR="008109D0" w:rsidRDefault="008109D0">
      <w:r>
        <w:separator/>
      </w:r>
    </w:p>
  </w:endnote>
  <w:endnote w:type="continuationSeparator" w:id="0">
    <w:p w14:paraId="52B86FF1" w14:textId="77777777" w:rsidR="008109D0" w:rsidRDefault="0081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57A4" w14:textId="10C82903" w:rsidR="00753733" w:rsidRDefault="00B74798">
    <w:pPr>
      <w:pStyle w:val="Pieddepage"/>
      <w:pBdr>
        <w:top w:val="thinThickSmallGap" w:sz="24" w:space="1" w:color="800000"/>
      </w:pBdr>
      <w:tabs>
        <w:tab w:val="clear" w:pos="4536"/>
      </w:tabs>
      <w:rPr>
        <w:rFonts w:ascii="Cambria" w:eastAsia="Cambria" w:hAnsi="Cambria" w:cs="Cambria"/>
        <w:i/>
      </w:rPr>
    </w:pPr>
    <w:r>
      <w:rPr>
        <w:rFonts w:ascii="Cambria" w:hAnsi="Cambria" w:cs="Cambria"/>
        <w:i/>
      </w:rPr>
      <w:t xml:space="preserve">Liste </w:t>
    </w:r>
    <w:proofErr w:type="gramStart"/>
    <w:r>
      <w:rPr>
        <w:rFonts w:ascii="Cambria" w:hAnsi="Cambria" w:cs="Cambria"/>
        <w:i/>
      </w:rPr>
      <w:t>des pièce</w:t>
    </w:r>
    <w:proofErr w:type="gramEnd"/>
    <w:r>
      <w:rPr>
        <w:rFonts w:ascii="Cambria" w:hAnsi="Cambria" w:cs="Cambria"/>
        <w:i/>
      </w:rPr>
      <w:t xml:space="preserve"> à fournir - </w:t>
    </w:r>
    <w:r w:rsidR="0083608D">
      <w:rPr>
        <w:rFonts w:ascii="Cambria" w:hAnsi="Cambria" w:cs="Cambria"/>
        <w:i/>
      </w:rPr>
      <w:t>Prix</w:t>
    </w:r>
    <w:r w:rsidR="0083608D">
      <w:rPr>
        <w:rFonts w:ascii="Cambria" w:eastAsia="Cambria" w:hAnsi="Cambria" w:cs="Cambria"/>
        <w:i/>
      </w:rPr>
      <w:t xml:space="preserve"> </w:t>
    </w:r>
    <w:r w:rsidR="00AD6524">
      <w:rPr>
        <w:rFonts w:ascii="Cambria" w:hAnsi="Cambria" w:cs="Cambria"/>
        <w:i/>
      </w:rPr>
      <w:t>PHYTOPHARMA</w:t>
    </w:r>
    <w:r w:rsidR="0083608D">
      <w:rPr>
        <w:rFonts w:ascii="Cambria" w:eastAsia="Cambria" w:hAnsi="Cambria" w:cs="Cambria"/>
        <w:i/>
      </w:rPr>
      <w:t>–</w:t>
    </w:r>
    <w:r w:rsidR="00A40F13">
      <w:rPr>
        <w:rFonts w:ascii="Cambria" w:eastAsia="Cambria" w:hAnsi="Cambria" w:cs="Cambria"/>
        <w:i/>
      </w:rPr>
      <w:t>20</w:t>
    </w:r>
    <w:r w:rsidR="00753733">
      <w:rPr>
        <w:rFonts w:ascii="Cambria" w:eastAsia="Cambria" w:hAnsi="Cambria" w:cs="Cambria"/>
        <w:i/>
      </w:rPr>
      <w:t>2</w:t>
    </w:r>
    <w:r w:rsidR="00CA1196">
      <w:rPr>
        <w:rFonts w:ascii="Cambria" w:eastAsia="Cambria" w:hAnsi="Cambria" w:cs="Cambria"/>
        <w:i/>
      </w:rPr>
      <w:t>2</w:t>
    </w:r>
  </w:p>
  <w:p w14:paraId="2BD9EDC4" w14:textId="69842C67" w:rsidR="0083608D" w:rsidRPr="00A40F13" w:rsidRDefault="0083608D">
    <w:pPr>
      <w:pStyle w:val="Pieddepage"/>
      <w:pBdr>
        <w:top w:val="thinThickSmallGap" w:sz="24" w:space="1" w:color="800000"/>
      </w:pBdr>
      <w:tabs>
        <w:tab w:val="clear" w:pos="4536"/>
      </w:tabs>
      <w:rPr>
        <w:rFonts w:ascii="Cambria" w:eastAsia="Cambria" w:hAnsi="Cambria" w:cs="Cambria"/>
        <w:i/>
      </w:rPr>
    </w:pPr>
    <w:r>
      <w:rPr>
        <w:rFonts w:ascii="Cambria" w:hAnsi="Cambria" w:cs="Cambria"/>
      </w:rPr>
      <w:tab/>
      <w:t>Page</w:t>
    </w:r>
    <w:r>
      <w:rPr>
        <w:rFonts w:ascii="Cambria" w:eastAsia="Cambria" w:hAnsi="Cambria" w:cs="Cambr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B74798">
      <w:rPr>
        <w:noProof/>
      </w:rPr>
      <w:t>1</w:t>
    </w:r>
    <w:r>
      <w:fldChar w:fldCharType="end"/>
    </w:r>
  </w:p>
  <w:p w14:paraId="62833591" w14:textId="77777777" w:rsidR="0083608D" w:rsidRDefault="008360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BDF58" w14:textId="77777777" w:rsidR="008109D0" w:rsidRDefault="008109D0">
      <w:r>
        <w:separator/>
      </w:r>
    </w:p>
  </w:footnote>
  <w:footnote w:type="continuationSeparator" w:id="0">
    <w:p w14:paraId="1FA30214" w14:textId="77777777" w:rsidR="008109D0" w:rsidRDefault="0081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63"/>
    <w:rsid w:val="00020963"/>
    <w:rsid w:val="00036913"/>
    <w:rsid w:val="00037E66"/>
    <w:rsid w:val="000527CD"/>
    <w:rsid w:val="000D482D"/>
    <w:rsid w:val="00146ED5"/>
    <w:rsid w:val="001652F4"/>
    <w:rsid w:val="002418C0"/>
    <w:rsid w:val="002566A9"/>
    <w:rsid w:val="002E4C07"/>
    <w:rsid w:val="002F3FB0"/>
    <w:rsid w:val="00341871"/>
    <w:rsid w:val="00357CBE"/>
    <w:rsid w:val="003F3C20"/>
    <w:rsid w:val="004761B0"/>
    <w:rsid w:val="00523B92"/>
    <w:rsid w:val="005A390E"/>
    <w:rsid w:val="00634394"/>
    <w:rsid w:val="00742049"/>
    <w:rsid w:val="00753733"/>
    <w:rsid w:val="00767887"/>
    <w:rsid w:val="008109D0"/>
    <w:rsid w:val="0083608D"/>
    <w:rsid w:val="008E2369"/>
    <w:rsid w:val="008F1D25"/>
    <w:rsid w:val="0090244D"/>
    <w:rsid w:val="0092399F"/>
    <w:rsid w:val="00924D00"/>
    <w:rsid w:val="00A33CAC"/>
    <w:rsid w:val="00A40F13"/>
    <w:rsid w:val="00A467F7"/>
    <w:rsid w:val="00AD6524"/>
    <w:rsid w:val="00B74798"/>
    <w:rsid w:val="00C53AF9"/>
    <w:rsid w:val="00C5595F"/>
    <w:rsid w:val="00CA1196"/>
    <w:rsid w:val="00CD7C9B"/>
    <w:rsid w:val="00D0559B"/>
    <w:rsid w:val="00D5297F"/>
    <w:rsid w:val="00E90760"/>
    <w:rsid w:val="00E974C8"/>
    <w:rsid w:val="00F80DAF"/>
    <w:rsid w:val="00FA0AE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E38C0A1"/>
  <w15:chartTrackingRefBased/>
  <w15:docId w15:val="{DC2E6432-7FBC-4736-BFA2-F42107A5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244D"/>
    <w:pPr>
      <w:suppressAutoHyphens w:val="0"/>
      <w:ind w:left="720"/>
      <w:contextualSpacing/>
    </w:pPr>
    <w:rPr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024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24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244D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24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244D"/>
    <w:rPr>
      <w:b/>
      <w:bCs/>
      <w:lang w:eastAsia="zh-CN"/>
    </w:rPr>
  </w:style>
  <w:style w:type="paragraph" w:styleId="Rvision">
    <w:name w:val="Revision"/>
    <w:hidden/>
    <w:uiPriority w:val="99"/>
    <w:semiHidden/>
    <w:rsid w:val="0090244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du prix de thèse prix « Phytopharma »</vt:lpstr>
    </vt:vector>
  </TitlesOfParts>
  <Company>TOXALIM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du prix de thèse prix « Phytopharma »</dc:title>
  <dc:subject/>
  <dc:creator>Xenos</dc:creator>
  <cp:keywords/>
  <cp:lastModifiedBy>Alodie BLONDEL</cp:lastModifiedBy>
  <cp:revision>2</cp:revision>
  <cp:lastPrinted>2011-05-20T13:23:00Z</cp:lastPrinted>
  <dcterms:created xsi:type="dcterms:W3CDTF">2022-01-27T14:50:00Z</dcterms:created>
  <dcterms:modified xsi:type="dcterms:W3CDTF">2022-01-27T14:50:00Z</dcterms:modified>
</cp:coreProperties>
</file>